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0C002" w14:textId="77777777" w:rsidR="006C4E44" w:rsidRDefault="00292B17">
      <w:pPr>
        <w:spacing w:before="81"/>
        <w:ind w:left="1066" w:right="1010"/>
        <w:jc w:val="center"/>
        <w:rPr>
          <w:rFonts w:ascii="Times New Roman"/>
          <w:b/>
          <w:sz w:val="32"/>
        </w:rPr>
      </w:pPr>
      <w:r w:rsidRPr="00292B17">
        <w:rPr>
          <w:rFonts w:ascii="Times New Roman"/>
          <w:b/>
          <w:color w:val="C0C0C0"/>
          <w:sz w:val="32"/>
          <w14:shadow w14:blurRad="50800" w14:dist="38100" w14:dir="2700000" w14:sx="100000" w14:sy="100000" w14:kx="0" w14:ky="0" w14:algn="tl">
            <w14:srgbClr w14:val="000000">
              <w14:alpha w14:val="60000"/>
            </w14:srgbClr>
          </w14:shadow>
        </w:rPr>
        <w:t>FIRST</w:t>
      </w:r>
      <w:r>
        <w:rPr>
          <w:rFonts w:ascii="Times New Roman"/>
          <w:b/>
          <w:color w:val="C0C0C0"/>
          <w:sz w:val="32"/>
        </w:rPr>
        <w:t xml:space="preserve"> </w:t>
      </w:r>
      <w:r w:rsidRPr="00292B17">
        <w:rPr>
          <w:rFonts w:ascii="Times New Roman"/>
          <w:b/>
          <w:color w:val="C0C0C0"/>
          <w:sz w:val="32"/>
          <w14:shadow w14:blurRad="50800" w14:dist="38100" w14:dir="2700000" w14:sx="100000" w14:sy="100000" w14:kx="0" w14:ky="0" w14:algn="tl">
            <w14:srgbClr w14:val="000000">
              <w14:alpha w14:val="60000"/>
            </w14:srgbClr>
          </w14:shadow>
        </w:rPr>
        <w:t>COMMUNITY</w:t>
      </w:r>
      <w:r>
        <w:rPr>
          <w:rFonts w:ascii="Times New Roman"/>
          <w:b/>
          <w:color w:val="C0C0C0"/>
          <w:sz w:val="32"/>
        </w:rPr>
        <w:t xml:space="preserve"> </w:t>
      </w:r>
      <w:r w:rsidRPr="00292B17">
        <w:rPr>
          <w:rFonts w:ascii="Times New Roman"/>
          <w:b/>
          <w:color w:val="C0C0C0"/>
          <w:sz w:val="32"/>
          <w14:shadow w14:blurRad="50800" w14:dist="38100" w14:dir="2700000" w14:sx="100000" w14:sy="100000" w14:kx="0" w14:ky="0" w14:algn="tl">
            <w14:srgbClr w14:val="000000">
              <w14:alpha w14:val="60000"/>
            </w14:srgbClr>
          </w14:shadow>
        </w:rPr>
        <w:t>CORPORATION</w:t>
      </w:r>
    </w:p>
    <w:p w14:paraId="48430A15" w14:textId="77777777" w:rsidR="006C4E44" w:rsidRDefault="00292B17">
      <w:pPr>
        <w:spacing w:before="46"/>
        <w:ind w:left="1066" w:right="1067"/>
        <w:jc w:val="center"/>
        <w:rPr>
          <w:b/>
          <w:sz w:val="24"/>
        </w:rPr>
      </w:pPr>
      <w:r>
        <w:rPr>
          <w:b/>
          <w:sz w:val="24"/>
        </w:rPr>
        <w:t>Charter of the AUDIT and COMPLIANCE COMMITTEE OF THE BOARD OF DIRECTORS</w:t>
      </w:r>
    </w:p>
    <w:p w14:paraId="4EE6A8A9" w14:textId="77777777" w:rsidR="006C4E44" w:rsidRPr="00F1082A" w:rsidRDefault="006C4E44">
      <w:pPr>
        <w:pStyle w:val="BodyText"/>
        <w:spacing w:before="11"/>
        <w:ind w:left="0"/>
        <w:rPr>
          <w:b/>
          <w:sz w:val="20"/>
          <w:szCs w:val="28"/>
        </w:rPr>
      </w:pPr>
    </w:p>
    <w:p w14:paraId="01E13DDB" w14:textId="17A9699D" w:rsidR="006C4E44" w:rsidRDefault="00292B17">
      <w:pPr>
        <w:ind w:left="1066" w:right="1066"/>
        <w:jc w:val="center"/>
        <w:rPr>
          <w:rFonts w:ascii="Times New Roman"/>
          <w:b/>
          <w:sz w:val="20"/>
        </w:rPr>
      </w:pPr>
      <w:r>
        <w:rPr>
          <w:rFonts w:ascii="Times New Roman"/>
          <w:b/>
          <w:sz w:val="20"/>
        </w:rPr>
        <w:t xml:space="preserve">Amended and </w:t>
      </w:r>
      <w:proofErr w:type="gramStart"/>
      <w:r>
        <w:rPr>
          <w:rFonts w:ascii="Times New Roman"/>
          <w:b/>
          <w:sz w:val="20"/>
        </w:rPr>
        <w:t>Restated</w:t>
      </w:r>
      <w:proofErr w:type="gramEnd"/>
      <w:r>
        <w:rPr>
          <w:rFonts w:ascii="Times New Roman"/>
          <w:b/>
          <w:sz w:val="20"/>
        </w:rPr>
        <w:t xml:space="preserve"> as of </w:t>
      </w:r>
      <w:r w:rsidR="00887D2E">
        <w:rPr>
          <w:rFonts w:ascii="Times New Roman"/>
          <w:b/>
          <w:sz w:val="20"/>
        </w:rPr>
        <w:t xml:space="preserve">May </w:t>
      </w:r>
      <w:r w:rsidR="00EC441E">
        <w:rPr>
          <w:rFonts w:ascii="Times New Roman"/>
          <w:b/>
          <w:sz w:val="20"/>
        </w:rPr>
        <w:t>7</w:t>
      </w:r>
      <w:r w:rsidR="00AB1223">
        <w:rPr>
          <w:rFonts w:ascii="Times New Roman"/>
          <w:b/>
          <w:sz w:val="20"/>
        </w:rPr>
        <w:t>, 202</w:t>
      </w:r>
      <w:r w:rsidR="00EC441E">
        <w:rPr>
          <w:rFonts w:ascii="Times New Roman"/>
          <w:b/>
          <w:sz w:val="20"/>
        </w:rPr>
        <w:t>5</w:t>
      </w:r>
    </w:p>
    <w:p w14:paraId="015A366A" w14:textId="77777777" w:rsidR="006C4E44" w:rsidRDefault="00292B17">
      <w:pPr>
        <w:pStyle w:val="Heading1"/>
      </w:pPr>
      <w:r>
        <w:rPr>
          <w:u w:val="single"/>
        </w:rPr>
        <w:t>Purpose</w:t>
      </w:r>
    </w:p>
    <w:p w14:paraId="7CE64417" w14:textId="123742F9" w:rsidR="006C4E44" w:rsidRDefault="00292B17">
      <w:pPr>
        <w:pStyle w:val="BodyText"/>
        <w:ind w:left="107" w:right="135"/>
      </w:pPr>
      <w:r>
        <w:t xml:space="preserve">The primary function of the Audit </w:t>
      </w:r>
      <w:r w:rsidR="00680683">
        <w:t xml:space="preserve">and Compliance </w:t>
      </w:r>
      <w:r>
        <w:t>Committee (the “Committee”) is to assist the Board of Directors of First Community Corporation (the “Company”) in overseeing (</w:t>
      </w:r>
      <w:proofErr w:type="spellStart"/>
      <w:r>
        <w:t>i</w:t>
      </w:r>
      <w:proofErr w:type="spellEnd"/>
      <w:r>
        <w:t>) the Company’s accounting and financial reporting processes generally, (ii) the audits of the Company’s financial statements, (iii) the Company’s systems of internal controls regarding finance and accounting, (iv) the establishment and oversight of an internal audit function that is designed to be appropriate, adequate and effective to address the risks and meet the demands posed by the Company’s current and planned activities; (v) the functions set forth in items (</w:t>
      </w:r>
      <w:proofErr w:type="spellStart"/>
      <w:r>
        <w:t>i</w:t>
      </w:r>
      <w:proofErr w:type="spellEnd"/>
      <w:r>
        <w:t xml:space="preserve">) through (iv) above and as described otherwise herein, to the extent applicable, with respect to the divisions, affiliates and subsidiaries of the Corporation, including First Community Bank (the “Bank”); and (vi) the fulfillment of the other responsibilities </w:t>
      </w:r>
      <w:r w:rsidR="00617F46">
        <w:t>for which authority i</w:t>
      </w:r>
      <w:r>
        <w:t xml:space="preserve">s provided </w:t>
      </w:r>
      <w:r w:rsidR="00617F46">
        <w:t xml:space="preserve">to the Committee </w:t>
      </w:r>
      <w:r>
        <w:t>in this Charter.</w:t>
      </w:r>
    </w:p>
    <w:p w14:paraId="28CF206B" w14:textId="77777777" w:rsidR="006C4E44" w:rsidRPr="00F1082A" w:rsidRDefault="006C4E44">
      <w:pPr>
        <w:pStyle w:val="BodyText"/>
        <w:spacing w:before="2"/>
        <w:ind w:left="0"/>
        <w:rPr>
          <w:sz w:val="20"/>
          <w:szCs w:val="22"/>
        </w:rPr>
      </w:pPr>
    </w:p>
    <w:p w14:paraId="2D1B63D7" w14:textId="77777777" w:rsidR="006C4E44" w:rsidRDefault="00292B17">
      <w:pPr>
        <w:pStyle w:val="Heading1"/>
      </w:pPr>
      <w:r>
        <w:rPr>
          <w:u w:val="single"/>
        </w:rPr>
        <w:t>Membership</w:t>
      </w:r>
    </w:p>
    <w:p w14:paraId="2A6620D2" w14:textId="4382DFFD" w:rsidR="006C4E44" w:rsidRDefault="00292B17" w:rsidP="006D2542">
      <w:pPr>
        <w:pStyle w:val="BodyText"/>
        <w:ind w:left="107"/>
      </w:pPr>
      <w:r>
        <w:t>The Committee shall consist of three or more directors. The members of the Committee shall be nominated by the Nomination and Corporate Governance Committee and approved by the Board of Directors. Each member of the Committee shall be independent in accordance with the requirements of Rule 10A-3 of the Securities Exchange Act of 1934 (the “Exchange Act”) and the NASDAQ Stock Market listing standards</w:t>
      </w:r>
      <w:r w:rsidR="007E7E3C">
        <w:t xml:space="preserve"> (which standards shall apply for purposes of determining whether a director is “independent of management of the institution” under Part 363 of the FDIC’s Rules and Regulation). </w:t>
      </w:r>
      <w:r>
        <w:t xml:space="preserve">Each member of the Committee must qualify as an “outside director” under </w:t>
      </w:r>
      <w:r w:rsidR="007A4258">
        <w:t>Part 363.5</w:t>
      </w:r>
      <w:r w:rsidR="006D2542">
        <w:t xml:space="preserve"> </w:t>
      </w:r>
      <w:r>
        <w:t>of the FDIC’s Rules and Regulation, which is an individual who is not, and within the preceding year</w:t>
      </w:r>
      <w:r>
        <w:rPr>
          <w:spacing w:val="-2"/>
        </w:rPr>
        <w:t xml:space="preserve"> </w:t>
      </w:r>
      <w:r>
        <w:t>has</w:t>
      </w:r>
      <w:r>
        <w:rPr>
          <w:spacing w:val="-4"/>
        </w:rPr>
        <w:t xml:space="preserve"> </w:t>
      </w:r>
      <w:r>
        <w:t>not</w:t>
      </w:r>
      <w:r>
        <w:rPr>
          <w:spacing w:val="-2"/>
        </w:rPr>
        <w:t xml:space="preserve"> </w:t>
      </w:r>
      <w:r>
        <w:t>been,</w:t>
      </w:r>
      <w:r>
        <w:rPr>
          <w:spacing w:val="-4"/>
        </w:rPr>
        <w:t xml:space="preserve"> </w:t>
      </w:r>
      <w:r>
        <w:t>an</w:t>
      </w:r>
      <w:r>
        <w:rPr>
          <w:spacing w:val="-3"/>
        </w:rPr>
        <w:t xml:space="preserve"> </w:t>
      </w:r>
      <w:r>
        <w:t>officer</w:t>
      </w:r>
      <w:r>
        <w:rPr>
          <w:spacing w:val="-2"/>
        </w:rPr>
        <w:t xml:space="preserve"> </w:t>
      </w:r>
      <w:r>
        <w:t>or</w:t>
      </w:r>
      <w:r>
        <w:rPr>
          <w:spacing w:val="-3"/>
        </w:rPr>
        <w:t xml:space="preserve"> </w:t>
      </w:r>
      <w:r>
        <w:t>employee</w:t>
      </w:r>
      <w:r>
        <w:rPr>
          <w:spacing w:val="-2"/>
        </w:rPr>
        <w:t xml:space="preserve"> </w:t>
      </w:r>
      <w:r>
        <w:t>of</w:t>
      </w:r>
      <w:r>
        <w:rPr>
          <w:spacing w:val="-3"/>
        </w:rPr>
        <w:t xml:space="preserve"> </w:t>
      </w:r>
      <w:r>
        <w:t>the</w:t>
      </w:r>
      <w:r>
        <w:rPr>
          <w:spacing w:val="-4"/>
        </w:rPr>
        <w:t xml:space="preserve"> </w:t>
      </w:r>
      <w:r>
        <w:t>institution</w:t>
      </w:r>
      <w:r>
        <w:rPr>
          <w:spacing w:val="-3"/>
        </w:rPr>
        <w:t xml:space="preserve"> </w:t>
      </w:r>
      <w:r>
        <w:rPr>
          <w:spacing w:val="1"/>
        </w:rPr>
        <w:t>or</w:t>
      </w:r>
      <w:r>
        <w:rPr>
          <w:spacing w:val="-2"/>
        </w:rPr>
        <w:t xml:space="preserve"> </w:t>
      </w:r>
      <w:r>
        <w:t>any</w:t>
      </w:r>
      <w:r>
        <w:rPr>
          <w:spacing w:val="-3"/>
        </w:rPr>
        <w:t xml:space="preserve"> </w:t>
      </w:r>
      <w:r>
        <w:t>affiliate</w:t>
      </w:r>
      <w:r>
        <w:rPr>
          <w:spacing w:val="-4"/>
        </w:rPr>
        <w:t xml:space="preserve"> </w:t>
      </w:r>
      <w:r>
        <w:t>of</w:t>
      </w:r>
      <w:r>
        <w:rPr>
          <w:spacing w:val="-3"/>
        </w:rPr>
        <w:t xml:space="preserve"> </w:t>
      </w:r>
      <w:r>
        <w:t>the</w:t>
      </w:r>
      <w:r>
        <w:rPr>
          <w:spacing w:val="-2"/>
        </w:rPr>
        <w:t xml:space="preserve"> </w:t>
      </w:r>
      <w:r>
        <w:t>institution.</w:t>
      </w:r>
      <w:r>
        <w:rPr>
          <w:spacing w:val="-5"/>
        </w:rPr>
        <w:t xml:space="preserve"> </w:t>
      </w:r>
      <w:r>
        <w:t>No</w:t>
      </w:r>
      <w:r>
        <w:rPr>
          <w:spacing w:val="-4"/>
        </w:rPr>
        <w:t xml:space="preserve"> </w:t>
      </w:r>
      <w:r>
        <w:t>member of the Committee can have participated in the preparation of the Company’s or any of its subsidiaries’ financial statements at any time during the past three</w:t>
      </w:r>
      <w:r>
        <w:rPr>
          <w:spacing w:val="-8"/>
        </w:rPr>
        <w:t xml:space="preserve"> </w:t>
      </w:r>
      <w:r>
        <w:t>years.</w:t>
      </w:r>
    </w:p>
    <w:p w14:paraId="2B05E59E" w14:textId="77777777" w:rsidR="006C4E44" w:rsidRPr="00F1082A" w:rsidRDefault="006C4E44">
      <w:pPr>
        <w:pStyle w:val="BodyText"/>
        <w:spacing w:before="12"/>
        <w:ind w:left="0"/>
        <w:rPr>
          <w:sz w:val="20"/>
          <w:szCs w:val="22"/>
        </w:rPr>
      </w:pPr>
    </w:p>
    <w:p w14:paraId="48DF6C62" w14:textId="69DFA891" w:rsidR="006C4E44" w:rsidRDefault="00292B17" w:rsidP="006D2542">
      <w:pPr>
        <w:pStyle w:val="BodyText"/>
        <w:ind w:left="107" w:right="112"/>
      </w:pPr>
      <w:r>
        <w:t>Each member of the Committee must be able to read and understand fundamental financial statements, including the Company’s balance sheet, income statement and cash flow statement. At least one member of the Committee must have past employment experience in finance or accounting, requisite professional certification in accounting or other comparable experience or background that leads to</w:t>
      </w:r>
      <w:r w:rsidR="006D2542">
        <w:t xml:space="preserve"> </w:t>
      </w:r>
      <w:r>
        <w:t>financial sophistication. In addition, at least one member of the Committee must be an “audit</w:t>
      </w:r>
      <w:r w:rsidR="006D2542">
        <w:t xml:space="preserve"> </w:t>
      </w:r>
      <w:r>
        <w:t>committee financial expert” as defined in Item 407(d)(5)(ii) of Regulation S-K. A person who satisfies this definition of audit committee financial expert will also be presumed to have financial sophistication.</w:t>
      </w:r>
    </w:p>
    <w:p w14:paraId="3E4DC404" w14:textId="77777777" w:rsidR="006C4E44" w:rsidRDefault="006C4E44">
      <w:pPr>
        <w:pStyle w:val="BodyText"/>
        <w:ind w:left="0"/>
        <w:rPr>
          <w:sz w:val="20"/>
          <w:szCs w:val="22"/>
        </w:rPr>
      </w:pPr>
    </w:p>
    <w:p w14:paraId="16BB5219" w14:textId="40C272F1" w:rsidR="0084169C" w:rsidRDefault="0084169C">
      <w:pPr>
        <w:rPr>
          <w:sz w:val="20"/>
        </w:rPr>
      </w:pPr>
      <w:r>
        <w:rPr>
          <w:sz w:val="20"/>
        </w:rPr>
        <w:br w:type="page"/>
      </w:r>
    </w:p>
    <w:p w14:paraId="7EC0662F" w14:textId="77777777" w:rsidR="00C40BF8" w:rsidRDefault="00C40BF8">
      <w:pPr>
        <w:pStyle w:val="BodyText"/>
        <w:ind w:left="0"/>
        <w:rPr>
          <w:sz w:val="20"/>
          <w:szCs w:val="22"/>
        </w:rPr>
      </w:pPr>
    </w:p>
    <w:p w14:paraId="3296D7C7" w14:textId="77777777" w:rsidR="00C40BF8" w:rsidRPr="00F1082A" w:rsidRDefault="00C40BF8">
      <w:pPr>
        <w:pStyle w:val="BodyText"/>
        <w:ind w:left="0"/>
        <w:rPr>
          <w:sz w:val="20"/>
          <w:szCs w:val="22"/>
        </w:rPr>
      </w:pPr>
    </w:p>
    <w:p w14:paraId="4865B42E" w14:textId="77777777" w:rsidR="006C4E44" w:rsidRDefault="00292B17" w:rsidP="00C40BF8">
      <w:pPr>
        <w:pStyle w:val="Heading1"/>
        <w:spacing w:line="240" w:lineRule="auto"/>
        <w:ind w:left="0"/>
      </w:pPr>
      <w:r>
        <w:rPr>
          <w:u w:val="single"/>
        </w:rPr>
        <w:t>Duties and Responsibilities</w:t>
      </w:r>
    </w:p>
    <w:p w14:paraId="00BE23AE" w14:textId="55ECF06F" w:rsidR="006C4E44" w:rsidRDefault="00292B17" w:rsidP="00C40BF8">
      <w:pPr>
        <w:pStyle w:val="BodyText"/>
        <w:spacing w:before="1"/>
        <w:ind w:left="0"/>
      </w:pPr>
      <w:r>
        <w:t>The Committee shall have the following authority:</w:t>
      </w:r>
    </w:p>
    <w:p w14:paraId="48F2FAF1" w14:textId="158E159F" w:rsidR="006C4E44" w:rsidRDefault="00292B17" w:rsidP="00C40BF8">
      <w:pPr>
        <w:pStyle w:val="ListParagraph"/>
        <w:numPr>
          <w:ilvl w:val="2"/>
          <w:numId w:val="1"/>
        </w:numPr>
        <w:tabs>
          <w:tab w:val="left" w:pos="829"/>
        </w:tabs>
        <w:spacing w:before="120" w:line="292" w:lineRule="exact"/>
        <w:ind w:left="720" w:right="173"/>
      </w:pPr>
      <w:r>
        <w:rPr>
          <w:sz w:val="24"/>
        </w:rPr>
        <w:t>To (</w:t>
      </w:r>
      <w:proofErr w:type="spellStart"/>
      <w:r>
        <w:rPr>
          <w:sz w:val="24"/>
        </w:rPr>
        <w:t>i</w:t>
      </w:r>
      <w:proofErr w:type="spellEnd"/>
      <w:r>
        <w:rPr>
          <w:sz w:val="24"/>
        </w:rPr>
        <w:t>) select and retain an independent registered public accounting firm to act as the Company’s independent auditors for the purpose of auditing the Company’s annual financial statements, books, records, accounts and internal controls over financial reporting, (ii) set the compensation of the Company’s independent auditors, (iii) oversee the work done by the</w:t>
      </w:r>
      <w:r w:rsidRPr="006D2542">
        <w:rPr>
          <w:spacing w:val="-23"/>
          <w:sz w:val="24"/>
        </w:rPr>
        <w:t xml:space="preserve"> </w:t>
      </w:r>
      <w:r>
        <w:rPr>
          <w:sz w:val="24"/>
        </w:rPr>
        <w:t>Company’s</w:t>
      </w:r>
      <w:r w:rsidR="006D2542">
        <w:rPr>
          <w:sz w:val="24"/>
        </w:rPr>
        <w:t xml:space="preserve"> </w:t>
      </w:r>
      <w:r>
        <w:t>independent auditors</w:t>
      </w:r>
      <w:r w:rsidR="00100786">
        <w:t xml:space="preserve"> (including resolution of disputes between management and the Company’s independent auditors regarding financial reporting)</w:t>
      </w:r>
      <w:r>
        <w:t xml:space="preserve"> and (iv) terminate the Company’s independent auditors, if necessary.</w:t>
      </w:r>
    </w:p>
    <w:p w14:paraId="7534909C" w14:textId="77777777" w:rsidR="006C4E44" w:rsidRPr="00F1082A" w:rsidRDefault="006C4E44">
      <w:pPr>
        <w:pStyle w:val="BodyText"/>
        <w:spacing w:before="8"/>
        <w:ind w:left="0"/>
        <w:rPr>
          <w:sz w:val="20"/>
          <w:szCs w:val="28"/>
        </w:rPr>
      </w:pPr>
    </w:p>
    <w:p w14:paraId="70BB1988" w14:textId="77777777" w:rsidR="006C4E44" w:rsidRDefault="00292B17" w:rsidP="00C40BF8">
      <w:pPr>
        <w:pStyle w:val="ListParagraph"/>
        <w:numPr>
          <w:ilvl w:val="2"/>
          <w:numId w:val="1"/>
        </w:numPr>
        <w:tabs>
          <w:tab w:val="left" w:pos="829"/>
        </w:tabs>
        <w:ind w:left="720" w:right="403"/>
        <w:rPr>
          <w:sz w:val="24"/>
        </w:rPr>
      </w:pPr>
      <w:r>
        <w:rPr>
          <w:sz w:val="24"/>
        </w:rPr>
        <w:t>To select, retain, compensate, oversee and terminate, if necessary, any other registered</w:t>
      </w:r>
      <w:r>
        <w:rPr>
          <w:spacing w:val="-38"/>
          <w:sz w:val="24"/>
        </w:rPr>
        <w:t xml:space="preserve"> </w:t>
      </w:r>
      <w:r>
        <w:rPr>
          <w:sz w:val="24"/>
        </w:rPr>
        <w:t>public accounting firm engaged for the purpose of preparing or issuing an audit report or performing other audit, review or attest services for the</w:t>
      </w:r>
      <w:r>
        <w:rPr>
          <w:spacing w:val="-5"/>
          <w:sz w:val="24"/>
        </w:rPr>
        <w:t xml:space="preserve"> </w:t>
      </w:r>
      <w:r>
        <w:rPr>
          <w:sz w:val="24"/>
        </w:rPr>
        <w:t>Company.</w:t>
      </w:r>
    </w:p>
    <w:p w14:paraId="3154867A" w14:textId="02CC5DA7" w:rsidR="006C4E44" w:rsidRDefault="00E41A72" w:rsidP="00C40BF8">
      <w:pPr>
        <w:pStyle w:val="ListParagraph"/>
        <w:numPr>
          <w:ilvl w:val="2"/>
          <w:numId w:val="1"/>
        </w:numPr>
        <w:tabs>
          <w:tab w:val="left" w:pos="829"/>
        </w:tabs>
        <w:spacing w:before="112"/>
        <w:ind w:left="720" w:right="374"/>
        <w:rPr>
          <w:sz w:val="24"/>
        </w:rPr>
      </w:pPr>
      <w:r>
        <w:rPr>
          <w:sz w:val="24"/>
        </w:rPr>
        <w:t>T</w:t>
      </w:r>
      <w:r w:rsidR="00292B17">
        <w:rPr>
          <w:sz w:val="24"/>
        </w:rPr>
        <w:t>o pre-approve all audit and permitted non-audit and tax services that may be provided by</w:t>
      </w:r>
      <w:r w:rsidR="00292B17">
        <w:rPr>
          <w:spacing w:val="-38"/>
          <w:sz w:val="24"/>
        </w:rPr>
        <w:t xml:space="preserve"> </w:t>
      </w:r>
      <w:r w:rsidR="00292B17">
        <w:rPr>
          <w:sz w:val="24"/>
        </w:rPr>
        <w:t xml:space="preserve">the Company’s independent auditors or other registered public accounting </w:t>
      </w:r>
      <w:proofErr w:type="gramStart"/>
      <w:r w:rsidR="00292B17">
        <w:rPr>
          <w:sz w:val="24"/>
        </w:rPr>
        <w:t>firms, and</w:t>
      </w:r>
      <w:proofErr w:type="gramEnd"/>
      <w:r w:rsidR="00292B17">
        <w:rPr>
          <w:sz w:val="24"/>
        </w:rPr>
        <w:t xml:space="preserve"> establish policies and procedures for the Committee’s pre-approval of permitted services by the Company’s independent auditors or other registered public accounting firms on an on-going basis.</w:t>
      </w:r>
    </w:p>
    <w:p w14:paraId="12B7D2EF" w14:textId="77777777" w:rsidR="006C4E44" w:rsidRPr="00F1082A" w:rsidRDefault="006C4E44">
      <w:pPr>
        <w:pStyle w:val="BodyText"/>
        <w:spacing w:before="7"/>
        <w:ind w:left="0"/>
        <w:rPr>
          <w:sz w:val="20"/>
          <w:szCs w:val="28"/>
        </w:rPr>
      </w:pPr>
    </w:p>
    <w:p w14:paraId="48999005" w14:textId="5ABB9F1B" w:rsidR="006C4E44" w:rsidRDefault="00292B17" w:rsidP="00C40BF8">
      <w:pPr>
        <w:pStyle w:val="ListParagraph"/>
        <w:numPr>
          <w:ilvl w:val="2"/>
          <w:numId w:val="1"/>
        </w:numPr>
        <w:tabs>
          <w:tab w:val="left" w:pos="829"/>
        </w:tabs>
        <w:spacing w:before="1"/>
        <w:ind w:left="720" w:right="115"/>
      </w:pPr>
      <w:r>
        <w:rPr>
          <w:sz w:val="24"/>
        </w:rPr>
        <w:t>At least annually, to obtain and review a report by the Company’s independent auditors</w:t>
      </w:r>
      <w:r w:rsidRPr="006D2542">
        <w:rPr>
          <w:spacing w:val="-21"/>
          <w:sz w:val="24"/>
        </w:rPr>
        <w:t xml:space="preserve"> </w:t>
      </w:r>
      <w:r>
        <w:rPr>
          <w:sz w:val="24"/>
        </w:rPr>
        <w:t>that</w:t>
      </w:r>
      <w:r w:rsidR="006D2542">
        <w:rPr>
          <w:sz w:val="24"/>
        </w:rPr>
        <w:t xml:space="preserve"> </w:t>
      </w:r>
      <w:r>
        <w:t>describes (</w:t>
      </w:r>
      <w:proofErr w:type="spellStart"/>
      <w:r>
        <w:t>i</w:t>
      </w:r>
      <w:proofErr w:type="spellEnd"/>
      <w:r>
        <w:t>) the accounting firm’s internal quality control procedures, (ii) any issues raised by the most recent internal quality control review, peer review or Public Company Accounting Oversight Board (“PCAOB”) review or inspection of the firm or by any other inquiry or investigation by governmental or professional authorities in the past five years regarding one or more audits carried out by the firm and any steps taken to deal with any such issues, and (iii) all relationships between the firm and the Company or any of its subsidiaries; and to discuss with the independent</w:t>
      </w:r>
      <w:r w:rsidRPr="006D2542">
        <w:rPr>
          <w:spacing w:val="-3"/>
        </w:rPr>
        <w:t xml:space="preserve"> </w:t>
      </w:r>
      <w:r>
        <w:t>auditors</w:t>
      </w:r>
      <w:r w:rsidRPr="006D2542">
        <w:rPr>
          <w:spacing w:val="-5"/>
        </w:rPr>
        <w:t xml:space="preserve"> </w:t>
      </w:r>
      <w:r>
        <w:t>this</w:t>
      </w:r>
      <w:r w:rsidRPr="006D2542">
        <w:rPr>
          <w:spacing w:val="-4"/>
        </w:rPr>
        <w:t xml:space="preserve"> </w:t>
      </w:r>
      <w:r>
        <w:t>report</w:t>
      </w:r>
      <w:r w:rsidRPr="006D2542">
        <w:rPr>
          <w:spacing w:val="-3"/>
        </w:rPr>
        <w:t xml:space="preserve"> </w:t>
      </w:r>
      <w:r>
        <w:t>and</w:t>
      </w:r>
      <w:r w:rsidRPr="006D2542">
        <w:rPr>
          <w:spacing w:val="-5"/>
        </w:rPr>
        <w:t xml:space="preserve"> </w:t>
      </w:r>
      <w:r>
        <w:t>any</w:t>
      </w:r>
      <w:r w:rsidRPr="006D2542">
        <w:rPr>
          <w:spacing w:val="-6"/>
        </w:rPr>
        <w:t xml:space="preserve"> </w:t>
      </w:r>
      <w:r>
        <w:t>relationships</w:t>
      </w:r>
      <w:r w:rsidRPr="006D2542">
        <w:rPr>
          <w:spacing w:val="-4"/>
        </w:rPr>
        <w:t xml:space="preserve"> </w:t>
      </w:r>
      <w:r>
        <w:t>or</w:t>
      </w:r>
      <w:r w:rsidRPr="006D2542">
        <w:rPr>
          <w:spacing w:val="-3"/>
        </w:rPr>
        <w:t xml:space="preserve"> </w:t>
      </w:r>
      <w:r>
        <w:t>services</w:t>
      </w:r>
      <w:r w:rsidRPr="006D2542">
        <w:rPr>
          <w:spacing w:val="-5"/>
        </w:rPr>
        <w:t xml:space="preserve"> </w:t>
      </w:r>
      <w:r>
        <w:t>that</w:t>
      </w:r>
      <w:r w:rsidRPr="006D2542">
        <w:rPr>
          <w:spacing w:val="-3"/>
        </w:rPr>
        <w:t xml:space="preserve"> </w:t>
      </w:r>
      <w:r>
        <w:t>may</w:t>
      </w:r>
      <w:r w:rsidRPr="006D2542">
        <w:rPr>
          <w:spacing w:val="-4"/>
        </w:rPr>
        <w:t xml:space="preserve"> </w:t>
      </w:r>
      <w:r>
        <w:t>impact</w:t>
      </w:r>
      <w:r w:rsidRPr="006D2542">
        <w:rPr>
          <w:spacing w:val="-5"/>
        </w:rPr>
        <w:t xml:space="preserve"> </w:t>
      </w:r>
      <w:r>
        <w:t>the</w:t>
      </w:r>
      <w:r w:rsidRPr="006D2542">
        <w:rPr>
          <w:spacing w:val="-4"/>
        </w:rPr>
        <w:t xml:space="preserve"> </w:t>
      </w:r>
      <w:r>
        <w:t>objectivity and independence of the</w:t>
      </w:r>
      <w:r w:rsidRPr="006D2542">
        <w:rPr>
          <w:spacing w:val="-2"/>
        </w:rPr>
        <w:t xml:space="preserve"> </w:t>
      </w:r>
      <w:r>
        <w:t>auditors.</w:t>
      </w:r>
    </w:p>
    <w:p w14:paraId="4636EBE7" w14:textId="77777777" w:rsidR="006C4E44" w:rsidRPr="00F1082A" w:rsidRDefault="006C4E44">
      <w:pPr>
        <w:pStyle w:val="BodyText"/>
        <w:spacing w:before="9"/>
        <w:ind w:left="0"/>
        <w:rPr>
          <w:sz w:val="20"/>
          <w:szCs w:val="28"/>
        </w:rPr>
      </w:pPr>
    </w:p>
    <w:p w14:paraId="4404DFD3" w14:textId="77777777" w:rsidR="006C4E44" w:rsidRDefault="00292B17" w:rsidP="00C40BF8">
      <w:pPr>
        <w:pStyle w:val="ListParagraph"/>
        <w:numPr>
          <w:ilvl w:val="2"/>
          <w:numId w:val="1"/>
        </w:numPr>
        <w:tabs>
          <w:tab w:val="left" w:pos="829"/>
        </w:tabs>
        <w:ind w:left="720" w:right="173"/>
        <w:rPr>
          <w:sz w:val="24"/>
        </w:rPr>
      </w:pPr>
      <w:r>
        <w:rPr>
          <w:sz w:val="24"/>
        </w:rPr>
        <w:t>To review and discuss with the Company’s independent auditors (</w:t>
      </w:r>
      <w:proofErr w:type="spellStart"/>
      <w:r>
        <w:rPr>
          <w:sz w:val="24"/>
        </w:rPr>
        <w:t>i</w:t>
      </w:r>
      <w:proofErr w:type="spellEnd"/>
      <w:r>
        <w:rPr>
          <w:sz w:val="24"/>
        </w:rPr>
        <w:t>) the auditors’ responsibilities under generally accepted auditing standards and the responsibilities of management in the</w:t>
      </w:r>
      <w:r>
        <w:rPr>
          <w:spacing w:val="-39"/>
          <w:sz w:val="24"/>
        </w:rPr>
        <w:t xml:space="preserve"> </w:t>
      </w:r>
      <w:r>
        <w:rPr>
          <w:sz w:val="24"/>
        </w:rPr>
        <w:t>audit process, (ii) the overall audit strategy, (iii) the scope and timing of the annual audit, (iv) any significant risks identified during the auditors’ risk assessment procedures and (v) when completed, the results, including significant findings, of the annual</w:t>
      </w:r>
      <w:r>
        <w:rPr>
          <w:spacing w:val="-12"/>
          <w:sz w:val="24"/>
        </w:rPr>
        <w:t xml:space="preserve"> </w:t>
      </w:r>
      <w:r>
        <w:rPr>
          <w:sz w:val="24"/>
        </w:rPr>
        <w:t>audit.</w:t>
      </w:r>
    </w:p>
    <w:p w14:paraId="0A0B7281" w14:textId="77777777" w:rsidR="006C4E44" w:rsidRPr="00F1082A" w:rsidRDefault="006C4E44">
      <w:pPr>
        <w:pStyle w:val="BodyText"/>
        <w:spacing w:before="7"/>
        <w:ind w:left="0"/>
        <w:rPr>
          <w:sz w:val="20"/>
          <w:szCs w:val="28"/>
        </w:rPr>
      </w:pPr>
    </w:p>
    <w:p w14:paraId="743471F6" w14:textId="77777777" w:rsidR="006C4E44" w:rsidRDefault="00292B17" w:rsidP="00C40BF8">
      <w:pPr>
        <w:pStyle w:val="ListParagraph"/>
        <w:numPr>
          <w:ilvl w:val="2"/>
          <w:numId w:val="1"/>
        </w:numPr>
        <w:tabs>
          <w:tab w:val="left" w:pos="829"/>
        </w:tabs>
        <w:ind w:left="720" w:right="144"/>
        <w:rPr>
          <w:sz w:val="24"/>
        </w:rPr>
      </w:pPr>
      <w:r>
        <w:rPr>
          <w:sz w:val="24"/>
        </w:rPr>
        <w:t>To review and discuss with the Company’s independent auditors (</w:t>
      </w:r>
      <w:proofErr w:type="spellStart"/>
      <w:r>
        <w:rPr>
          <w:sz w:val="24"/>
        </w:rPr>
        <w:t>i</w:t>
      </w:r>
      <w:proofErr w:type="spellEnd"/>
      <w:r>
        <w:rPr>
          <w:sz w:val="24"/>
        </w:rPr>
        <w:t>) all critical accounting policies and</w:t>
      </w:r>
      <w:r>
        <w:rPr>
          <w:spacing w:val="-4"/>
          <w:sz w:val="24"/>
        </w:rPr>
        <w:t xml:space="preserve"> </w:t>
      </w:r>
      <w:r>
        <w:rPr>
          <w:sz w:val="24"/>
        </w:rPr>
        <w:t>practices</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used</w:t>
      </w:r>
      <w:r>
        <w:rPr>
          <w:spacing w:val="-4"/>
          <w:sz w:val="24"/>
        </w:rPr>
        <w:t xml:space="preserve"> </w:t>
      </w:r>
      <w:r>
        <w:rPr>
          <w:sz w:val="24"/>
        </w:rPr>
        <w:t>in</w:t>
      </w:r>
      <w:r>
        <w:rPr>
          <w:spacing w:val="-2"/>
          <w:sz w:val="24"/>
        </w:rPr>
        <w:t xml:space="preserve"> </w:t>
      </w:r>
      <w:r>
        <w:rPr>
          <w:sz w:val="24"/>
        </w:rPr>
        <w:t>the</w:t>
      </w:r>
      <w:r>
        <w:rPr>
          <w:spacing w:val="-4"/>
          <w:sz w:val="24"/>
        </w:rPr>
        <w:t xml:space="preserve"> </w:t>
      </w:r>
      <w:r>
        <w:rPr>
          <w:sz w:val="24"/>
        </w:rPr>
        <w:t>audit;</w:t>
      </w:r>
      <w:r>
        <w:rPr>
          <w:spacing w:val="-5"/>
          <w:sz w:val="24"/>
        </w:rPr>
        <w:t xml:space="preserve"> </w:t>
      </w:r>
      <w:r>
        <w:rPr>
          <w:sz w:val="24"/>
        </w:rPr>
        <w:t>(ii)</w:t>
      </w:r>
      <w:r>
        <w:rPr>
          <w:spacing w:val="-4"/>
          <w:sz w:val="24"/>
        </w:rPr>
        <w:t xml:space="preserve"> </w:t>
      </w:r>
      <w:r>
        <w:rPr>
          <w:sz w:val="24"/>
        </w:rPr>
        <w:t>all</w:t>
      </w:r>
      <w:r>
        <w:rPr>
          <w:spacing w:val="-3"/>
          <w:sz w:val="24"/>
        </w:rPr>
        <w:t xml:space="preserve"> </w:t>
      </w:r>
      <w:r>
        <w:rPr>
          <w:sz w:val="24"/>
        </w:rPr>
        <w:t>alternative</w:t>
      </w:r>
      <w:r>
        <w:rPr>
          <w:spacing w:val="-5"/>
          <w:sz w:val="24"/>
        </w:rPr>
        <w:t xml:space="preserve"> </w:t>
      </w:r>
      <w:r>
        <w:rPr>
          <w:sz w:val="24"/>
        </w:rPr>
        <w:t>treatments</w:t>
      </w:r>
      <w:r>
        <w:rPr>
          <w:spacing w:val="-2"/>
          <w:sz w:val="24"/>
        </w:rPr>
        <w:t xml:space="preserve"> </w:t>
      </w:r>
      <w:r>
        <w:rPr>
          <w:sz w:val="24"/>
        </w:rPr>
        <w:t>of</w:t>
      </w:r>
      <w:r>
        <w:rPr>
          <w:spacing w:val="-4"/>
          <w:sz w:val="24"/>
        </w:rPr>
        <w:t xml:space="preserve"> </w:t>
      </w:r>
      <w:r>
        <w:rPr>
          <w:sz w:val="24"/>
        </w:rPr>
        <w:t>financial</w:t>
      </w:r>
      <w:r>
        <w:rPr>
          <w:spacing w:val="-2"/>
          <w:sz w:val="24"/>
        </w:rPr>
        <w:t xml:space="preserve"> </w:t>
      </w:r>
      <w:r>
        <w:rPr>
          <w:sz w:val="24"/>
        </w:rPr>
        <w:t>information</w:t>
      </w:r>
      <w:r>
        <w:rPr>
          <w:spacing w:val="-4"/>
          <w:sz w:val="24"/>
        </w:rPr>
        <w:t xml:space="preserve"> </w:t>
      </w:r>
      <w:r>
        <w:rPr>
          <w:sz w:val="24"/>
        </w:rPr>
        <w:t>within generally accepted accounting principles (“GAAP”) that have been discussed with management, the ramifications of the use of such alternative treatments and the treatment preferred by the auditors; and (iii) other material written communications between the auditors and management.</w:t>
      </w:r>
    </w:p>
    <w:p w14:paraId="1B04E5ED" w14:textId="77777777" w:rsidR="006C4E44" w:rsidRDefault="006C4E44">
      <w:pPr>
        <w:pStyle w:val="BodyText"/>
        <w:spacing w:before="8"/>
        <w:ind w:left="0"/>
        <w:rPr>
          <w:sz w:val="20"/>
          <w:szCs w:val="28"/>
        </w:rPr>
      </w:pPr>
    </w:p>
    <w:p w14:paraId="4DC2AF55" w14:textId="77777777" w:rsidR="00C40BF8" w:rsidRPr="00F1082A" w:rsidRDefault="00C40BF8">
      <w:pPr>
        <w:pStyle w:val="BodyText"/>
        <w:spacing w:before="8"/>
        <w:ind w:left="0"/>
        <w:rPr>
          <w:sz w:val="20"/>
          <w:szCs w:val="28"/>
        </w:rPr>
      </w:pPr>
    </w:p>
    <w:p w14:paraId="25F57CCE" w14:textId="77777777" w:rsidR="006C4E44" w:rsidRDefault="00292B17" w:rsidP="00C40BF8">
      <w:pPr>
        <w:pStyle w:val="ListParagraph"/>
        <w:numPr>
          <w:ilvl w:val="2"/>
          <w:numId w:val="1"/>
        </w:numPr>
        <w:tabs>
          <w:tab w:val="left" w:pos="829"/>
        </w:tabs>
        <w:ind w:left="720" w:right="144"/>
        <w:rPr>
          <w:sz w:val="24"/>
        </w:rPr>
      </w:pPr>
      <w:r>
        <w:rPr>
          <w:sz w:val="24"/>
        </w:rPr>
        <w:lastRenderedPageBreak/>
        <w:t>To review with management and the Company’s independent auditors: any major issues regarding accounting principles and financial statement presentation, including any significant changes in the Company’s selection or application of accounting principles; any significant financial reporting issues and judgements made in connection with the preparation of the Company’s financial statements, including the effects of alternative GAAP methods; and the effect of regulatory and accounting initiatives and off-balance sheet structures on the Company’s financial statements.</w:t>
      </w:r>
    </w:p>
    <w:p w14:paraId="55C1BE28" w14:textId="77777777" w:rsidR="006C4E44" w:rsidRPr="00F1082A" w:rsidRDefault="006C4E44">
      <w:pPr>
        <w:pStyle w:val="BodyText"/>
        <w:spacing w:before="10"/>
        <w:ind w:left="0"/>
        <w:rPr>
          <w:sz w:val="20"/>
          <w:szCs w:val="28"/>
        </w:rPr>
      </w:pPr>
    </w:p>
    <w:p w14:paraId="7C44F956" w14:textId="15B80958" w:rsidR="006C4E44" w:rsidRDefault="00292B17" w:rsidP="00C40BF8">
      <w:pPr>
        <w:pStyle w:val="ListParagraph"/>
        <w:numPr>
          <w:ilvl w:val="2"/>
          <w:numId w:val="1"/>
        </w:numPr>
        <w:tabs>
          <w:tab w:val="left" w:pos="829"/>
        </w:tabs>
        <w:spacing w:line="293" w:lineRule="exact"/>
        <w:ind w:left="720" w:right="302"/>
      </w:pPr>
      <w:r w:rsidRPr="00B740C4">
        <w:rPr>
          <w:sz w:val="24"/>
          <w:szCs w:val="24"/>
        </w:rPr>
        <w:t>To</w:t>
      </w:r>
      <w:r w:rsidRPr="00B740C4">
        <w:rPr>
          <w:spacing w:val="-3"/>
          <w:sz w:val="24"/>
          <w:szCs w:val="24"/>
        </w:rPr>
        <w:t xml:space="preserve"> </w:t>
      </w:r>
      <w:r w:rsidRPr="00B740C4">
        <w:rPr>
          <w:sz w:val="24"/>
          <w:szCs w:val="24"/>
        </w:rPr>
        <w:t>keep</w:t>
      </w:r>
      <w:r w:rsidRPr="00B740C4">
        <w:rPr>
          <w:spacing w:val="-5"/>
          <w:sz w:val="24"/>
          <w:szCs w:val="24"/>
        </w:rPr>
        <w:t xml:space="preserve"> </w:t>
      </w:r>
      <w:r w:rsidRPr="00B740C4">
        <w:rPr>
          <w:sz w:val="24"/>
          <w:szCs w:val="24"/>
        </w:rPr>
        <w:t>the</w:t>
      </w:r>
      <w:r w:rsidRPr="00B740C4">
        <w:rPr>
          <w:spacing w:val="-3"/>
          <w:sz w:val="24"/>
          <w:szCs w:val="24"/>
        </w:rPr>
        <w:t xml:space="preserve"> </w:t>
      </w:r>
      <w:r w:rsidRPr="00B740C4">
        <w:rPr>
          <w:sz w:val="24"/>
          <w:szCs w:val="24"/>
        </w:rPr>
        <w:t>Company’s</w:t>
      </w:r>
      <w:r w:rsidRPr="00B740C4">
        <w:rPr>
          <w:spacing w:val="-7"/>
          <w:sz w:val="24"/>
          <w:szCs w:val="24"/>
        </w:rPr>
        <w:t xml:space="preserve"> </w:t>
      </w:r>
      <w:r w:rsidRPr="00B740C4">
        <w:rPr>
          <w:sz w:val="24"/>
          <w:szCs w:val="24"/>
        </w:rPr>
        <w:t>independent</w:t>
      </w:r>
      <w:r w:rsidRPr="00B740C4">
        <w:rPr>
          <w:spacing w:val="-3"/>
          <w:sz w:val="24"/>
          <w:szCs w:val="24"/>
        </w:rPr>
        <w:t xml:space="preserve"> </w:t>
      </w:r>
      <w:r w:rsidRPr="00B740C4">
        <w:rPr>
          <w:sz w:val="24"/>
          <w:szCs w:val="24"/>
        </w:rPr>
        <w:t>auditors</w:t>
      </w:r>
      <w:r w:rsidRPr="00B740C4">
        <w:rPr>
          <w:spacing w:val="-6"/>
          <w:sz w:val="24"/>
          <w:szCs w:val="24"/>
        </w:rPr>
        <w:t xml:space="preserve"> </w:t>
      </w:r>
      <w:r w:rsidRPr="00B740C4">
        <w:rPr>
          <w:sz w:val="24"/>
          <w:szCs w:val="24"/>
        </w:rPr>
        <w:t>informed</w:t>
      </w:r>
      <w:r w:rsidRPr="00B740C4">
        <w:rPr>
          <w:spacing w:val="-4"/>
          <w:sz w:val="24"/>
          <w:szCs w:val="24"/>
        </w:rPr>
        <w:t xml:space="preserve"> </w:t>
      </w:r>
      <w:r w:rsidRPr="00B740C4">
        <w:rPr>
          <w:sz w:val="24"/>
          <w:szCs w:val="24"/>
        </w:rPr>
        <w:t>of</w:t>
      </w:r>
      <w:r w:rsidRPr="00B740C4">
        <w:rPr>
          <w:spacing w:val="-5"/>
          <w:sz w:val="24"/>
          <w:szCs w:val="24"/>
        </w:rPr>
        <w:t xml:space="preserve"> </w:t>
      </w:r>
      <w:r w:rsidRPr="00B740C4">
        <w:rPr>
          <w:sz w:val="24"/>
          <w:szCs w:val="24"/>
        </w:rPr>
        <w:t>the</w:t>
      </w:r>
      <w:r w:rsidRPr="00B740C4">
        <w:rPr>
          <w:spacing w:val="-3"/>
          <w:sz w:val="24"/>
          <w:szCs w:val="24"/>
        </w:rPr>
        <w:t xml:space="preserve"> </w:t>
      </w:r>
      <w:r w:rsidRPr="00B740C4">
        <w:rPr>
          <w:sz w:val="24"/>
          <w:szCs w:val="24"/>
        </w:rPr>
        <w:t>Committee’s</w:t>
      </w:r>
      <w:r w:rsidRPr="00B740C4">
        <w:rPr>
          <w:spacing w:val="-4"/>
          <w:sz w:val="24"/>
          <w:szCs w:val="24"/>
        </w:rPr>
        <w:t xml:space="preserve"> </w:t>
      </w:r>
      <w:r w:rsidRPr="00B740C4">
        <w:rPr>
          <w:sz w:val="24"/>
          <w:szCs w:val="24"/>
        </w:rPr>
        <w:t>understanding</w:t>
      </w:r>
      <w:r w:rsidRPr="00B740C4">
        <w:rPr>
          <w:spacing w:val="-6"/>
          <w:sz w:val="24"/>
          <w:szCs w:val="24"/>
        </w:rPr>
        <w:t xml:space="preserve"> </w:t>
      </w:r>
      <w:r w:rsidRPr="00B740C4">
        <w:rPr>
          <w:sz w:val="24"/>
          <w:szCs w:val="24"/>
        </w:rPr>
        <w:t>of</w:t>
      </w:r>
      <w:r w:rsidRPr="00B740C4">
        <w:rPr>
          <w:spacing w:val="-4"/>
          <w:sz w:val="24"/>
          <w:szCs w:val="24"/>
        </w:rPr>
        <w:t xml:space="preserve"> </w:t>
      </w:r>
      <w:r w:rsidRPr="00B740C4">
        <w:rPr>
          <w:sz w:val="24"/>
          <w:szCs w:val="24"/>
        </w:rPr>
        <w:t xml:space="preserve">the Company’s relationships and transactions with related parties that are significant to the </w:t>
      </w:r>
      <w:r w:rsidR="006D2542" w:rsidRPr="00B740C4">
        <w:rPr>
          <w:sz w:val="24"/>
          <w:szCs w:val="24"/>
        </w:rPr>
        <w:t xml:space="preserve"> </w:t>
      </w:r>
      <w:r w:rsidRPr="00B740C4">
        <w:rPr>
          <w:sz w:val="24"/>
          <w:szCs w:val="24"/>
        </w:rPr>
        <w:t>company; and to review and discuss with the Company’s independent auditors the</w:t>
      </w:r>
      <w:r w:rsidRPr="00B740C4">
        <w:rPr>
          <w:spacing w:val="-21"/>
          <w:sz w:val="24"/>
          <w:szCs w:val="24"/>
        </w:rPr>
        <w:t xml:space="preserve"> </w:t>
      </w:r>
      <w:r w:rsidRPr="00B740C4">
        <w:rPr>
          <w:sz w:val="24"/>
          <w:szCs w:val="24"/>
        </w:rPr>
        <w:t>auditors’</w:t>
      </w:r>
      <w:r w:rsidR="00B740C4" w:rsidRPr="00B740C4">
        <w:rPr>
          <w:sz w:val="24"/>
          <w:szCs w:val="24"/>
        </w:rPr>
        <w:t xml:space="preserve"> </w:t>
      </w:r>
      <w:r w:rsidRPr="00B740C4">
        <w:rPr>
          <w:sz w:val="24"/>
          <w:szCs w:val="24"/>
        </w:rPr>
        <w:t>evaluation of the Company’s identification of, accounting for, and disclosure of its relationships and transactions with related parties, including any significant matters arising from the audit</w:t>
      </w:r>
      <w:r w:rsidR="00B740C4" w:rsidRPr="00B740C4">
        <w:rPr>
          <w:sz w:val="24"/>
          <w:szCs w:val="24"/>
        </w:rPr>
        <w:t xml:space="preserve"> </w:t>
      </w:r>
      <w:r w:rsidRPr="00B740C4">
        <w:rPr>
          <w:sz w:val="24"/>
          <w:szCs w:val="24"/>
        </w:rPr>
        <w:t>regarding the Company’s relationships and transactions with related parties</w:t>
      </w:r>
      <w:r>
        <w:t>.</w:t>
      </w:r>
    </w:p>
    <w:p w14:paraId="2CD6C1A8" w14:textId="77777777" w:rsidR="00C31BBB" w:rsidRPr="00C40BF8" w:rsidRDefault="00C31BBB" w:rsidP="00C31BBB">
      <w:pPr>
        <w:pStyle w:val="ListParagraph"/>
        <w:rPr>
          <w:sz w:val="20"/>
          <w:szCs w:val="20"/>
        </w:rPr>
      </w:pPr>
    </w:p>
    <w:p w14:paraId="1CB2C4A1" w14:textId="44A791F6" w:rsidR="006C4E44" w:rsidRPr="00B740C4" w:rsidRDefault="00292B17" w:rsidP="00C40BF8">
      <w:pPr>
        <w:pStyle w:val="ListParagraph"/>
        <w:numPr>
          <w:ilvl w:val="2"/>
          <w:numId w:val="1"/>
        </w:numPr>
        <w:tabs>
          <w:tab w:val="left" w:pos="829"/>
        </w:tabs>
        <w:spacing w:before="2" w:line="292" w:lineRule="exact"/>
        <w:ind w:left="720" w:right="101"/>
        <w:rPr>
          <w:sz w:val="24"/>
          <w:szCs w:val="24"/>
        </w:rPr>
      </w:pPr>
      <w:r w:rsidRPr="00B740C4">
        <w:rPr>
          <w:sz w:val="24"/>
          <w:szCs w:val="24"/>
        </w:rPr>
        <w:t>To review with management and the Company’s independent auditors the adequacy</w:t>
      </w:r>
      <w:r w:rsidRPr="00B740C4">
        <w:rPr>
          <w:spacing w:val="-18"/>
          <w:sz w:val="24"/>
          <w:szCs w:val="24"/>
        </w:rPr>
        <w:t xml:space="preserve"> </w:t>
      </w:r>
      <w:r w:rsidRPr="00B740C4">
        <w:rPr>
          <w:sz w:val="24"/>
          <w:szCs w:val="24"/>
        </w:rPr>
        <w:t>and</w:t>
      </w:r>
      <w:r w:rsidR="00B740C4" w:rsidRPr="00B740C4">
        <w:rPr>
          <w:sz w:val="24"/>
          <w:szCs w:val="24"/>
        </w:rPr>
        <w:t xml:space="preserve"> </w:t>
      </w:r>
      <w:r w:rsidRPr="00B740C4">
        <w:rPr>
          <w:sz w:val="24"/>
          <w:szCs w:val="24"/>
        </w:rPr>
        <w:t>effectiveness of the Company’s internal controls, including any significant deficiencies or material weaknesses in the design or operation of, and any material changes in, the Company’s internal controls and any special audit steps adopted in light of any material control deficiencies, and any fraud involving management or other employees with a significant role in such internal controls, and review and discuss with management and the Company’s independent auditors disclosure</w:t>
      </w:r>
      <w:r w:rsidR="00B740C4" w:rsidRPr="00B740C4">
        <w:rPr>
          <w:sz w:val="24"/>
          <w:szCs w:val="24"/>
        </w:rPr>
        <w:t xml:space="preserve"> </w:t>
      </w:r>
      <w:r w:rsidRPr="00B740C4">
        <w:rPr>
          <w:sz w:val="24"/>
          <w:szCs w:val="24"/>
        </w:rPr>
        <w:t>relating to the Company’s internal controls, the independent auditors’ report on the</w:t>
      </w:r>
      <w:r w:rsidR="00B740C4" w:rsidRPr="00B740C4">
        <w:rPr>
          <w:sz w:val="24"/>
          <w:szCs w:val="24"/>
        </w:rPr>
        <w:t xml:space="preserve"> </w:t>
      </w:r>
      <w:r w:rsidRPr="00B740C4">
        <w:rPr>
          <w:sz w:val="24"/>
          <w:szCs w:val="24"/>
        </w:rPr>
        <w:t>effectiveness of the Company’s internal control over financial reporting and the required</w:t>
      </w:r>
      <w:r w:rsidR="00B740C4" w:rsidRPr="00B740C4">
        <w:rPr>
          <w:sz w:val="24"/>
          <w:szCs w:val="24"/>
        </w:rPr>
        <w:t xml:space="preserve"> </w:t>
      </w:r>
      <w:r w:rsidRPr="00B740C4">
        <w:rPr>
          <w:sz w:val="24"/>
          <w:szCs w:val="24"/>
        </w:rPr>
        <w:t>management certifications to be included in or attached as exhibits to the Company’s annual</w:t>
      </w:r>
      <w:r w:rsidR="00B740C4" w:rsidRPr="00B740C4">
        <w:rPr>
          <w:sz w:val="24"/>
          <w:szCs w:val="24"/>
        </w:rPr>
        <w:t xml:space="preserve"> </w:t>
      </w:r>
      <w:r w:rsidRPr="00B740C4">
        <w:rPr>
          <w:sz w:val="24"/>
          <w:szCs w:val="24"/>
        </w:rPr>
        <w:t>report on Form 10-K or quarterly report on Form 10-Q, as applicable.</w:t>
      </w:r>
    </w:p>
    <w:p w14:paraId="112E27A9" w14:textId="77777777" w:rsidR="006C4E44" w:rsidRPr="00F1082A" w:rsidRDefault="006C4E44">
      <w:pPr>
        <w:pStyle w:val="BodyText"/>
        <w:spacing w:before="8"/>
        <w:ind w:left="0"/>
        <w:rPr>
          <w:sz w:val="20"/>
          <w:szCs w:val="28"/>
        </w:rPr>
      </w:pPr>
    </w:p>
    <w:p w14:paraId="497C208F" w14:textId="6A6F6456" w:rsidR="006C4E44" w:rsidRPr="00B740C4" w:rsidRDefault="00292B17" w:rsidP="00C40BF8">
      <w:pPr>
        <w:pStyle w:val="ListParagraph"/>
        <w:numPr>
          <w:ilvl w:val="2"/>
          <w:numId w:val="1"/>
        </w:numPr>
        <w:tabs>
          <w:tab w:val="left" w:pos="829"/>
        </w:tabs>
        <w:ind w:left="720" w:right="259"/>
        <w:rPr>
          <w:sz w:val="24"/>
          <w:szCs w:val="24"/>
        </w:rPr>
      </w:pPr>
      <w:r>
        <w:rPr>
          <w:sz w:val="24"/>
        </w:rPr>
        <w:t>To review and discuss with the Company’s independent auditors any other matters required to be discussed by PCAOB Auditing Standards No. 16, Communications with Audit</w:t>
      </w:r>
      <w:r w:rsidRPr="00B740C4">
        <w:rPr>
          <w:spacing w:val="-30"/>
          <w:sz w:val="24"/>
        </w:rPr>
        <w:t xml:space="preserve"> </w:t>
      </w:r>
      <w:r>
        <w:rPr>
          <w:sz w:val="24"/>
        </w:rPr>
        <w:t>Committees,</w:t>
      </w:r>
      <w:r w:rsidR="00B740C4">
        <w:rPr>
          <w:sz w:val="24"/>
        </w:rPr>
        <w:t xml:space="preserve"> </w:t>
      </w:r>
      <w:r w:rsidRPr="00B740C4">
        <w:rPr>
          <w:sz w:val="24"/>
          <w:szCs w:val="24"/>
        </w:rPr>
        <w:t>including, without limitation, the auditors’ evaluation of the quality of the Company’s financial reporting, information relating to significant unusual transactions and the business rationale for such transactions and the auditors’ evaluation of the Company’s ability to continue as a going concern.</w:t>
      </w:r>
    </w:p>
    <w:p w14:paraId="39F9E132" w14:textId="77777777" w:rsidR="006C4E44" w:rsidRPr="00C40BF8" w:rsidRDefault="006C4E44">
      <w:pPr>
        <w:pStyle w:val="BodyText"/>
        <w:spacing w:before="8"/>
        <w:ind w:left="0"/>
        <w:rPr>
          <w:sz w:val="20"/>
          <w:szCs w:val="28"/>
        </w:rPr>
      </w:pPr>
    </w:p>
    <w:p w14:paraId="42410D6F" w14:textId="77777777" w:rsidR="006C4E44" w:rsidRDefault="00292B17" w:rsidP="00C40BF8">
      <w:pPr>
        <w:pStyle w:val="ListParagraph"/>
        <w:numPr>
          <w:ilvl w:val="2"/>
          <w:numId w:val="1"/>
        </w:numPr>
        <w:tabs>
          <w:tab w:val="left" w:pos="829"/>
        </w:tabs>
        <w:ind w:left="720" w:right="115"/>
        <w:rPr>
          <w:sz w:val="24"/>
        </w:rPr>
      </w:pPr>
      <w:r>
        <w:rPr>
          <w:sz w:val="24"/>
        </w:rPr>
        <w:t>To review with the Company’s independent auditors and management the Company’s annual audited financial statements (including related notes), the form of audit opinion to be issued by the auditors on the financial statements and the disclosure under “Management’s</w:t>
      </w:r>
      <w:r>
        <w:rPr>
          <w:spacing w:val="-39"/>
          <w:sz w:val="24"/>
        </w:rPr>
        <w:t xml:space="preserve"> </w:t>
      </w:r>
      <w:r>
        <w:rPr>
          <w:sz w:val="24"/>
        </w:rPr>
        <w:t>Discussion and Analysis of Financial Condition and Results of Operations” to be included in the Company’s annual report on Form 10-K and to approve the 10-K prior to</w:t>
      </w:r>
      <w:r>
        <w:rPr>
          <w:spacing w:val="-8"/>
          <w:sz w:val="24"/>
        </w:rPr>
        <w:t xml:space="preserve"> </w:t>
      </w:r>
      <w:r>
        <w:rPr>
          <w:sz w:val="24"/>
        </w:rPr>
        <w:t>filing.</w:t>
      </w:r>
    </w:p>
    <w:p w14:paraId="54AD4619" w14:textId="77777777" w:rsidR="006C4E44" w:rsidRDefault="006C4E44">
      <w:pPr>
        <w:pStyle w:val="BodyText"/>
        <w:spacing w:before="7"/>
        <w:ind w:left="0"/>
        <w:rPr>
          <w:sz w:val="20"/>
          <w:szCs w:val="28"/>
        </w:rPr>
      </w:pPr>
    </w:p>
    <w:p w14:paraId="0892C825" w14:textId="0E11F382" w:rsidR="006C4E44" w:rsidRPr="00B740C4" w:rsidRDefault="00292B17" w:rsidP="00C40BF8">
      <w:pPr>
        <w:pStyle w:val="ListParagraph"/>
        <w:numPr>
          <w:ilvl w:val="2"/>
          <w:numId w:val="1"/>
        </w:numPr>
        <w:tabs>
          <w:tab w:val="left" w:pos="829"/>
        </w:tabs>
        <w:ind w:left="720"/>
        <w:rPr>
          <w:sz w:val="24"/>
          <w:szCs w:val="24"/>
        </w:rPr>
      </w:pPr>
      <w:r>
        <w:rPr>
          <w:sz w:val="24"/>
        </w:rPr>
        <w:t>To recommend to the Board of Directors that the required audit committee report be included</w:t>
      </w:r>
      <w:r w:rsidRPr="00B740C4">
        <w:rPr>
          <w:spacing w:val="-33"/>
          <w:sz w:val="24"/>
        </w:rPr>
        <w:t xml:space="preserve"> </w:t>
      </w:r>
      <w:r>
        <w:rPr>
          <w:sz w:val="24"/>
        </w:rPr>
        <w:t>in</w:t>
      </w:r>
      <w:r w:rsidR="00B740C4">
        <w:rPr>
          <w:sz w:val="24"/>
        </w:rPr>
        <w:t xml:space="preserve"> </w:t>
      </w:r>
      <w:r w:rsidRPr="00B740C4">
        <w:rPr>
          <w:sz w:val="24"/>
          <w:szCs w:val="24"/>
        </w:rPr>
        <w:t>the Company’s proxy statement.</w:t>
      </w:r>
    </w:p>
    <w:p w14:paraId="0214E340" w14:textId="361D02B9" w:rsidR="0084169C" w:rsidRDefault="0084169C">
      <w:pPr>
        <w:rPr>
          <w:sz w:val="20"/>
          <w:szCs w:val="28"/>
        </w:rPr>
      </w:pPr>
      <w:r>
        <w:rPr>
          <w:sz w:val="20"/>
          <w:szCs w:val="28"/>
        </w:rPr>
        <w:br w:type="page"/>
      </w:r>
    </w:p>
    <w:p w14:paraId="11FE518B" w14:textId="77777777" w:rsidR="006C4E44" w:rsidRPr="00C40BF8" w:rsidRDefault="006C4E44">
      <w:pPr>
        <w:pStyle w:val="BodyText"/>
        <w:spacing w:before="10"/>
        <w:ind w:left="0"/>
        <w:rPr>
          <w:sz w:val="20"/>
          <w:szCs w:val="28"/>
        </w:rPr>
      </w:pPr>
    </w:p>
    <w:p w14:paraId="765EBD60" w14:textId="77777777" w:rsidR="006C4E44" w:rsidRDefault="00292B17" w:rsidP="00C40BF8">
      <w:pPr>
        <w:pStyle w:val="ListParagraph"/>
        <w:numPr>
          <w:ilvl w:val="2"/>
          <w:numId w:val="1"/>
        </w:numPr>
        <w:tabs>
          <w:tab w:val="left" w:pos="829"/>
        </w:tabs>
        <w:ind w:left="720" w:right="259"/>
        <w:rPr>
          <w:sz w:val="24"/>
        </w:rPr>
      </w:pPr>
      <w:r>
        <w:rPr>
          <w:sz w:val="24"/>
        </w:rPr>
        <w:t>To review with the Company’s independent auditors and management the Company’s quarterly financial statements and the disclosure under “Management’s Discussion and Analysis of Financial Condition and Results of Operations” to be included in the Company’s quarterly report on Form 10-Q and to approve the 10Q prior to</w:t>
      </w:r>
      <w:r>
        <w:rPr>
          <w:spacing w:val="-9"/>
          <w:sz w:val="24"/>
        </w:rPr>
        <w:t xml:space="preserve"> </w:t>
      </w:r>
      <w:r>
        <w:rPr>
          <w:sz w:val="24"/>
        </w:rPr>
        <w:t>filing.</w:t>
      </w:r>
    </w:p>
    <w:p w14:paraId="2B9415BF" w14:textId="77777777" w:rsidR="006C4E44" w:rsidRPr="00F1082A" w:rsidRDefault="006C4E44">
      <w:pPr>
        <w:pStyle w:val="BodyText"/>
        <w:spacing w:before="8"/>
        <w:ind w:left="0"/>
        <w:rPr>
          <w:sz w:val="20"/>
          <w:szCs w:val="28"/>
        </w:rPr>
      </w:pPr>
    </w:p>
    <w:p w14:paraId="55D980A4" w14:textId="3DE11392" w:rsidR="006C4E44" w:rsidRPr="00B740C4" w:rsidRDefault="00292B17" w:rsidP="00C40BF8">
      <w:pPr>
        <w:pStyle w:val="ListParagraph"/>
        <w:numPr>
          <w:ilvl w:val="2"/>
          <w:numId w:val="1"/>
        </w:numPr>
        <w:tabs>
          <w:tab w:val="left" w:pos="829"/>
        </w:tabs>
        <w:ind w:left="720" w:right="259"/>
        <w:rPr>
          <w:sz w:val="24"/>
          <w:szCs w:val="24"/>
        </w:rPr>
      </w:pPr>
      <w:r>
        <w:rPr>
          <w:sz w:val="24"/>
        </w:rPr>
        <w:t>To</w:t>
      </w:r>
      <w:r w:rsidRPr="00B740C4">
        <w:rPr>
          <w:spacing w:val="-3"/>
          <w:sz w:val="24"/>
        </w:rPr>
        <w:t xml:space="preserve"> </w:t>
      </w:r>
      <w:r>
        <w:rPr>
          <w:sz w:val="24"/>
        </w:rPr>
        <w:t>review,</w:t>
      </w:r>
      <w:r w:rsidRPr="00B740C4">
        <w:rPr>
          <w:spacing w:val="-5"/>
          <w:sz w:val="24"/>
        </w:rPr>
        <w:t xml:space="preserve"> </w:t>
      </w:r>
      <w:r>
        <w:rPr>
          <w:sz w:val="24"/>
        </w:rPr>
        <w:t>discuss</w:t>
      </w:r>
      <w:r w:rsidRPr="00B740C4">
        <w:rPr>
          <w:spacing w:val="-5"/>
          <w:sz w:val="24"/>
        </w:rPr>
        <w:t xml:space="preserve"> </w:t>
      </w:r>
      <w:r>
        <w:rPr>
          <w:sz w:val="24"/>
        </w:rPr>
        <w:t>with</w:t>
      </w:r>
      <w:r w:rsidRPr="00B740C4">
        <w:rPr>
          <w:spacing w:val="-3"/>
          <w:sz w:val="24"/>
        </w:rPr>
        <w:t xml:space="preserve"> </w:t>
      </w:r>
      <w:r>
        <w:rPr>
          <w:sz w:val="24"/>
        </w:rPr>
        <w:t>the</w:t>
      </w:r>
      <w:r w:rsidRPr="00B740C4">
        <w:rPr>
          <w:spacing w:val="-3"/>
          <w:sz w:val="24"/>
        </w:rPr>
        <w:t xml:space="preserve"> </w:t>
      </w:r>
      <w:r>
        <w:rPr>
          <w:sz w:val="24"/>
        </w:rPr>
        <w:t>Company’s</w:t>
      </w:r>
      <w:r w:rsidRPr="00B740C4">
        <w:rPr>
          <w:spacing w:val="-5"/>
          <w:sz w:val="24"/>
        </w:rPr>
        <w:t xml:space="preserve"> </w:t>
      </w:r>
      <w:r>
        <w:rPr>
          <w:sz w:val="24"/>
        </w:rPr>
        <w:t>independent</w:t>
      </w:r>
      <w:r w:rsidRPr="00B740C4">
        <w:rPr>
          <w:spacing w:val="-5"/>
          <w:sz w:val="24"/>
        </w:rPr>
        <w:t xml:space="preserve"> </w:t>
      </w:r>
      <w:r>
        <w:rPr>
          <w:sz w:val="24"/>
        </w:rPr>
        <w:t>auditors,</w:t>
      </w:r>
      <w:r w:rsidRPr="00B740C4">
        <w:rPr>
          <w:spacing w:val="-4"/>
          <w:sz w:val="24"/>
        </w:rPr>
        <w:t xml:space="preserve"> </w:t>
      </w:r>
      <w:r>
        <w:rPr>
          <w:sz w:val="24"/>
        </w:rPr>
        <w:t>and</w:t>
      </w:r>
      <w:r w:rsidRPr="00B740C4">
        <w:rPr>
          <w:spacing w:val="-3"/>
          <w:sz w:val="24"/>
        </w:rPr>
        <w:t xml:space="preserve"> </w:t>
      </w:r>
      <w:r>
        <w:rPr>
          <w:sz w:val="24"/>
        </w:rPr>
        <w:t>approve</w:t>
      </w:r>
      <w:r w:rsidRPr="00B740C4">
        <w:rPr>
          <w:spacing w:val="-3"/>
          <w:sz w:val="24"/>
        </w:rPr>
        <w:t xml:space="preserve"> </w:t>
      </w:r>
      <w:r>
        <w:rPr>
          <w:sz w:val="24"/>
        </w:rPr>
        <w:t>the</w:t>
      </w:r>
      <w:r w:rsidRPr="00B740C4">
        <w:rPr>
          <w:spacing w:val="-5"/>
          <w:sz w:val="24"/>
        </w:rPr>
        <w:t xml:space="preserve"> </w:t>
      </w:r>
      <w:r>
        <w:rPr>
          <w:sz w:val="24"/>
        </w:rPr>
        <w:t>functions</w:t>
      </w:r>
      <w:r w:rsidRPr="00B740C4">
        <w:rPr>
          <w:spacing w:val="-4"/>
          <w:sz w:val="24"/>
        </w:rPr>
        <w:t xml:space="preserve"> </w:t>
      </w:r>
      <w:r>
        <w:rPr>
          <w:sz w:val="24"/>
        </w:rPr>
        <w:t>of</w:t>
      </w:r>
      <w:r w:rsidRPr="00B740C4">
        <w:rPr>
          <w:spacing w:val="-5"/>
          <w:sz w:val="24"/>
        </w:rPr>
        <w:t xml:space="preserve"> </w:t>
      </w:r>
      <w:r>
        <w:rPr>
          <w:sz w:val="24"/>
        </w:rPr>
        <w:t>the Company’s internal audit department, including its purpose, organization, responsibilities, budget and performance; and to review the scope, performance and results of</w:t>
      </w:r>
      <w:r w:rsidRPr="00B740C4">
        <w:rPr>
          <w:spacing w:val="-6"/>
          <w:sz w:val="24"/>
        </w:rPr>
        <w:t xml:space="preserve"> </w:t>
      </w:r>
      <w:r>
        <w:rPr>
          <w:sz w:val="24"/>
        </w:rPr>
        <w:t>such</w:t>
      </w:r>
      <w:r w:rsidR="00B740C4">
        <w:rPr>
          <w:sz w:val="24"/>
        </w:rPr>
        <w:t xml:space="preserve"> </w:t>
      </w:r>
      <w:r w:rsidRPr="00B740C4">
        <w:rPr>
          <w:sz w:val="24"/>
          <w:szCs w:val="24"/>
        </w:rPr>
        <w:t>department’s internal audit plans, including any reports to management and management’s response to those reports, including outsourced audits; and to review and approve the hiring or dismissal of the senior internal audit executive.</w:t>
      </w:r>
    </w:p>
    <w:p w14:paraId="1428E8A0" w14:textId="77777777" w:rsidR="006C4E44" w:rsidRPr="00F1082A" w:rsidRDefault="006C4E44">
      <w:pPr>
        <w:pStyle w:val="BodyText"/>
        <w:spacing w:before="7"/>
        <w:ind w:left="0"/>
        <w:rPr>
          <w:sz w:val="20"/>
          <w:szCs w:val="28"/>
        </w:rPr>
      </w:pPr>
    </w:p>
    <w:p w14:paraId="0070FBD3" w14:textId="77777777" w:rsidR="006C4E44" w:rsidRDefault="00292B17" w:rsidP="00C40BF8">
      <w:pPr>
        <w:pStyle w:val="ListParagraph"/>
        <w:numPr>
          <w:ilvl w:val="2"/>
          <w:numId w:val="1"/>
        </w:numPr>
        <w:tabs>
          <w:tab w:val="left" w:pos="829"/>
        </w:tabs>
        <w:spacing w:before="1"/>
        <w:ind w:left="720" w:right="230"/>
        <w:rPr>
          <w:sz w:val="24"/>
        </w:rPr>
      </w:pPr>
      <w:r>
        <w:rPr>
          <w:sz w:val="24"/>
        </w:rPr>
        <w:t>To establish and oversee procedures for the receipt, retention and treatment of complaints received by the Company regarding accounting, internal accounting controls or auditing</w:t>
      </w:r>
      <w:r>
        <w:rPr>
          <w:spacing w:val="-40"/>
          <w:sz w:val="24"/>
        </w:rPr>
        <w:t xml:space="preserve"> </w:t>
      </w:r>
      <w:r>
        <w:rPr>
          <w:sz w:val="24"/>
        </w:rPr>
        <w:t>matters and the confidential, anonymous submission by Company employees of concerns regarding questionable accounting or auditing</w:t>
      </w:r>
      <w:r>
        <w:rPr>
          <w:spacing w:val="-7"/>
          <w:sz w:val="24"/>
        </w:rPr>
        <w:t xml:space="preserve"> </w:t>
      </w:r>
      <w:r>
        <w:rPr>
          <w:sz w:val="24"/>
        </w:rPr>
        <w:t>matters.</w:t>
      </w:r>
    </w:p>
    <w:p w14:paraId="09797BE3" w14:textId="77777777" w:rsidR="006C4E44" w:rsidRPr="00F1082A" w:rsidRDefault="006C4E44" w:rsidP="00C40BF8">
      <w:pPr>
        <w:pStyle w:val="BodyText"/>
        <w:spacing w:before="7"/>
        <w:ind w:left="0"/>
        <w:rPr>
          <w:sz w:val="20"/>
          <w:szCs w:val="28"/>
        </w:rPr>
      </w:pPr>
    </w:p>
    <w:p w14:paraId="2A826582" w14:textId="77777777" w:rsidR="001A5AD4" w:rsidRDefault="00292B17" w:rsidP="00C40BF8">
      <w:pPr>
        <w:pStyle w:val="ListParagraph"/>
        <w:numPr>
          <w:ilvl w:val="2"/>
          <w:numId w:val="1"/>
        </w:numPr>
        <w:tabs>
          <w:tab w:val="left" w:pos="829"/>
        </w:tabs>
        <w:spacing w:before="27"/>
        <w:ind w:left="720" w:right="346"/>
        <w:rPr>
          <w:sz w:val="24"/>
        </w:rPr>
      </w:pPr>
      <w:r w:rsidRPr="00881252">
        <w:rPr>
          <w:sz w:val="24"/>
        </w:rPr>
        <w:t>To review the Company’s compliance with applicable laws and regulations and to review and oversee</w:t>
      </w:r>
      <w:r w:rsidRPr="00881252">
        <w:rPr>
          <w:spacing w:val="-5"/>
          <w:sz w:val="24"/>
        </w:rPr>
        <w:t xml:space="preserve"> </w:t>
      </w:r>
      <w:r w:rsidRPr="00881252">
        <w:rPr>
          <w:sz w:val="24"/>
        </w:rPr>
        <w:t>the</w:t>
      </w:r>
      <w:r w:rsidRPr="00881252">
        <w:rPr>
          <w:spacing w:val="-6"/>
          <w:sz w:val="24"/>
        </w:rPr>
        <w:t xml:space="preserve"> </w:t>
      </w:r>
      <w:r w:rsidRPr="00881252">
        <w:rPr>
          <w:sz w:val="24"/>
        </w:rPr>
        <w:t>Company’s</w:t>
      </w:r>
      <w:r w:rsidRPr="00881252">
        <w:rPr>
          <w:spacing w:val="-7"/>
          <w:sz w:val="24"/>
        </w:rPr>
        <w:t xml:space="preserve"> </w:t>
      </w:r>
      <w:r w:rsidRPr="00881252">
        <w:rPr>
          <w:sz w:val="24"/>
        </w:rPr>
        <w:t>policies,</w:t>
      </w:r>
      <w:r w:rsidRPr="00881252">
        <w:rPr>
          <w:spacing w:val="-6"/>
          <w:sz w:val="24"/>
        </w:rPr>
        <w:t xml:space="preserve"> </w:t>
      </w:r>
      <w:r w:rsidRPr="00881252">
        <w:rPr>
          <w:sz w:val="24"/>
        </w:rPr>
        <w:t>procedures,</w:t>
      </w:r>
      <w:r w:rsidRPr="00881252">
        <w:rPr>
          <w:spacing w:val="-6"/>
          <w:sz w:val="24"/>
        </w:rPr>
        <w:t xml:space="preserve"> </w:t>
      </w:r>
      <w:r w:rsidRPr="00881252">
        <w:rPr>
          <w:sz w:val="24"/>
        </w:rPr>
        <w:t>and</w:t>
      </w:r>
      <w:r w:rsidRPr="00881252">
        <w:rPr>
          <w:spacing w:val="-5"/>
          <w:sz w:val="24"/>
        </w:rPr>
        <w:t xml:space="preserve"> </w:t>
      </w:r>
      <w:r w:rsidRPr="00881252">
        <w:rPr>
          <w:sz w:val="24"/>
        </w:rPr>
        <w:t>programs</w:t>
      </w:r>
      <w:r w:rsidRPr="00881252">
        <w:rPr>
          <w:spacing w:val="-4"/>
          <w:sz w:val="24"/>
        </w:rPr>
        <w:t xml:space="preserve"> </w:t>
      </w:r>
      <w:r w:rsidRPr="00881252">
        <w:rPr>
          <w:sz w:val="24"/>
        </w:rPr>
        <w:t>designed</w:t>
      </w:r>
      <w:r w:rsidRPr="00881252">
        <w:rPr>
          <w:spacing w:val="-4"/>
          <w:sz w:val="24"/>
        </w:rPr>
        <w:t xml:space="preserve"> </w:t>
      </w:r>
      <w:r w:rsidRPr="00881252">
        <w:rPr>
          <w:sz w:val="24"/>
        </w:rPr>
        <w:t>to</w:t>
      </w:r>
      <w:r w:rsidRPr="00881252">
        <w:rPr>
          <w:spacing w:val="-3"/>
          <w:sz w:val="24"/>
        </w:rPr>
        <w:t xml:space="preserve"> </w:t>
      </w:r>
      <w:r w:rsidRPr="00881252">
        <w:rPr>
          <w:sz w:val="24"/>
        </w:rPr>
        <w:t>promote</w:t>
      </w:r>
      <w:r w:rsidRPr="00881252">
        <w:rPr>
          <w:spacing w:val="-6"/>
          <w:sz w:val="24"/>
        </w:rPr>
        <w:t xml:space="preserve"> </w:t>
      </w:r>
      <w:r w:rsidRPr="00881252">
        <w:rPr>
          <w:sz w:val="24"/>
        </w:rPr>
        <w:t>and</w:t>
      </w:r>
      <w:r w:rsidRPr="00881252">
        <w:rPr>
          <w:spacing w:val="-3"/>
          <w:sz w:val="24"/>
        </w:rPr>
        <w:t xml:space="preserve"> </w:t>
      </w:r>
      <w:r w:rsidRPr="00881252">
        <w:rPr>
          <w:sz w:val="24"/>
        </w:rPr>
        <w:t>monitor legal, ethical and regulatory</w:t>
      </w:r>
      <w:r w:rsidRPr="00881252">
        <w:rPr>
          <w:spacing w:val="-1"/>
          <w:sz w:val="24"/>
        </w:rPr>
        <w:t xml:space="preserve"> </w:t>
      </w:r>
      <w:r w:rsidRPr="00881252">
        <w:rPr>
          <w:sz w:val="24"/>
        </w:rPr>
        <w:t>compliance.</w:t>
      </w:r>
      <w:r w:rsidR="00C31BBB">
        <w:rPr>
          <w:sz w:val="24"/>
        </w:rPr>
        <w:t xml:space="preserve"> </w:t>
      </w:r>
    </w:p>
    <w:p w14:paraId="677CE6E5" w14:textId="77777777" w:rsidR="001A5AD4" w:rsidRPr="001A5AD4" w:rsidRDefault="001A5AD4" w:rsidP="001A5AD4">
      <w:pPr>
        <w:pStyle w:val="ListParagraph"/>
        <w:rPr>
          <w:sz w:val="20"/>
          <w:szCs w:val="18"/>
        </w:rPr>
      </w:pPr>
    </w:p>
    <w:p w14:paraId="077CD734" w14:textId="4C105B10" w:rsidR="006C4E44" w:rsidRPr="00881252" w:rsidRDefault="00292B17" w:rsidP="00C40BF8">
      <w:pPr>
        <w:pStyle w:val="ListParagraph"/>
        <w:numPr>
          <w:ilvl w:val="2"/>
          <w:numId w:val="1"/>
        </w:numPr>
        <w:tabs>
          <w:tab w:val="left" w:pos="829"/>
        </w:tabs>
        <w:spacing w:before="27"/>
        <w:ind w:left="720" w:right="346"/>
        <w:rPr>
          <w:sz w:val="24"/>
        </w:rPr>
      </w:pPr>
      <w:r w:rsidRPr="00881252">
        <w:rPr>
          <w:sz w:val="24"/>
        </w:rPr>
        <w:t>To</w:t>
      </w:r>
      <w:r w:rsidRPr="00881252">
        <w:rPr>
          <w:spacing w:val="-3"/>
          <w:sz w:val="24"/>
        </w:rPr>
        <w:t xml:space="preserve"> </w:t>
      </w:r>
      <w:r w:rsidRPr="00881252">
        <w:rPr>
          <w:sz w:val="24"/>
        </w:rPr>
        <w:t>review,</w:t>
      </w:r>
      <w:r w:rsidRPr="00881252">
        <w:rPr>
          <w:spacing w:val="-4"/>
          <w:sz w:val="24"/>
        </w:rPr>
        <w:t xml:space="preserve"> </w:t>
      </w:r>
      <w:r w:rsidRPr="00881252">
        <w:rPr>
          <w:sz w:val="24"/>
        </w:rPr>
        <w:t>approve</w:t>
      </w:r>
      <w:r w:rsidRPr="00881252">
        <w:rPr>
          <w:spacing w:val="-4"/>
          <w:sz w:val="24"/>
        </w:rPr>
        <w:t xml:space="preserve"> </w:t>
      </w:r>
      <w:r w:rsidRPr="00881252">
        <w:rPr>
          <w:sz w:val="24"/>
        </w:rPr>
        <w:t>and</w:t>
      </w:r>
      <w:r w:rsidRPr="00881252">
        <w:rPr>
          <w:spacing w:val="-6"/>
          <w:sz w:val="24"/>
        </w:rPr>
        <w:t xml:space="preserve"> </w:t>
      </w:r>
      <w:r w:rsidRPr="00881252">
        <w:rPr>
          <w:sz w:val="24"/>
        </w:rPr>
        <w:t>oversee</w:t>
      </w:r>
      <w:r w:rsidRPr="00881252">
        <w:rPr>
          <w:spacing w:val="-3"/>
          <w:sz w:val="24"/>
        </w:rPr>
        <w:t xml:space="preserve"> </w:t>
      </w:r>
      <w:r w:rsidRPr="00881252">
        <w:rPr>
          <w:sz w:val="24"/>
        </w:rPr>
        <w:t>any</w:t>
      </w:r>
      <w:r w:rsidRPr="00881252">
        <w:rPr>
          <w:spacing w:val="-4"/>
          <w:sz w:val="24"/>
        </w:rPr>
        <w:t xml:space="preserve"> </w:t>
      </w:r>
      <w:r w:rsidRPr="00881252">
        <w:rPr>
          <w:sz w:val="24"/>
        </w:rPr>
        <w:t>transaction</w:t>
      </w:r>
      <w:r w:rsidRPr="00881252">
        <w:rPr>
          <w:spacing w:val="-4"/>
          <w:sz w:val="24"/>
        </w:rPr>
        <w:t xml:space="preserve"> </w:t>
      </w:r>
      <w:r w:rsidRPr="00881252">
        <w:rPr>
          <w:sz w:val="24"/>
        </w:rPr>
        <w:t>between</w:t>
      </w:r>
      <w:r w:rsidRPr="00881252">
        <w:rPr>
          <w:spacing w:val="-5"/>
          <w:sz w:val="24"/>
        </w:rPr>
        <w:t xml:space="preserve"> </w:t>
      </w:r>
      <w:r w:rsidRPr="00881252">
        <w:rPr>
          <w:sz w:val="24"/>
        </w:rPr>
        <w:t>the</w:t>
      </w:r>
      <w:r w:rsidRPr="00881252">
        <w:rPr>
          <w:spacing w:val="-6"/>
          <w:sz w:val="24"/>
        </w:rPr>
        <w:t xml:space="preserve"> </w:t>
      </w:r>
      <w:r w:rsidRPr="00881252">
        <w:rPr>
          <w:sz w:val="24"/>
        </w:rPr>
        <w:t>Company</w:t>
      </w:r>
      <w:r w:rsidRPr="00881252">
        <w:rPr>
          <w:spacing w:val="-4"/>
          <w:sz w:val="24"/>
        </w:rPr>
        <w:t xml:space="preserve"> </w:t>
      </w:r>
      <w:r w:rsidRPr="00881252">
        <w:rPr>
          <w:sz w:val="24"/>
        </w:rPr>
        <w:t>and</w:t>
      </w:r>
      <w:r w:rsidRPr="00881252">
        <w:rPr>
          <w:spacing w:val="-3"/>
          <w:sz w:val="24"/>
        </w:rPr>
        <w:t xml:space="preserve"> </w:t>
      </w:r>
      <w:r w:rsidRPr="00881252">
        <w:rPr>
          <w:sz w:val="24"/>
        </w:rPr>
        <w:t>any</w:t>
      </w:r>
      <w:r w:rsidRPr="00881252">
        <w:rPr>
          <w:spacing w:val="-4"/>
          <w:sz w:val="24"/>
        </w:rPr>
        <w:t xml:space="preserve"> </w:t>
      </w:r>
      <w:r w:rsidRPr="00881252">
        <w:rPr>
          <w:sz w:val="24"/>
        </w:rPr>
        <w:t>related</w:t>
      </w:r>
      <w:r w:rsidRPr="00881252">
        <w:rPr>
          <w:spacing w:val="-5"/>
          <w:sz w:val="24"/>
        </w:rPr>
        <w:t xml:space="preserve"> </w:t>
      </w:r>
      <w:r w:rsidRPr="00881252">
        <w:rPr>
          <w:sz w:val="24"/>
        </w:rPr>
        <w:t>person (as defined in Item 404 of Regulation S-K) and any other potential conflict of interest situations on an ongoing basis, in accordance with Company policies and</w:t>
      </w:r>
      <w:r w:rsidRPr="00881252">
        <w:rPr>
          <w:spacing w:val="-6"/>
          <w:sz w:val="24"/>
        </w:rPr>
        <w:t xml:space="preserve"> </w:t>
      </w:r>
      <w:r w:rsidRPr="00881252">
        <w:rPr>
          <w:sz w:val="24"/>
        </w:rPr>
        <w:t>procedures.</w:t>
      </w:r>
    </w:p>
    <w:p w14:paraId="5B589BFD" w14:textId="77777777" w:rsidR="006C4E44" w:rsidRPr="00F1082A" w:rsidRDefault="006C4E44" w:rsidP="00C40BF8">
      <w:pPr>
        <w:pStyle w:val="BodyText"/>
        <w:spacing w:before="8"/>
        <w:ind w:left="0"/>
        <w:rPr>
          <w:sz w:val="20"/>
          <w:szCs w:val="28"/>
        </w:rPr>
      </w:pPr>
    </w:p>
    <w:p w14:paraId="7165184B" w14:textId="77777777" w:rsidR="006C4E44" w:rsidRPr="00936947" w:rsidRDefault="00292B17" w:rsidP="00C40BF8">
      <w:pPr>
        <w:pStyle w:val="ListParagraph"/>
        <w:numPr>
          <w:ilvl w:val="2"/>
          <w:numId w:val="1"/>
        </w:numPr>
        <w:tabs>
          <w:tab w:val="left" w:pos="829"/>
        </w:tabs>
        <w:ind w:left="720" w:right="202"/>
        <w:rPr>
          <w:sz w:val="24"/>
        </w:rPr>
      </w:pPr>
      <w:r w:rsidRPr="00936947">
        <w:rPr>
          <w:sz w:val="24"/>
        </w:rPr>
        <w:t>To annually review, recommend changes, consider exceptions, and monitor compliance with the Code of Ethics for Directors and</w:t>
      </w:r>
      <w:r w:rsidRPr="00936947">
        <w:rPr>
          <w:spacing w:val="-2"/>
          <w:sz w:val="24"/>
        </w:rPr>
        <w:t xml:space="preserve"> </w:t>
      </w:r>
      <w:r w:rsidRPr="00936947">
        <w:rPr>
          <w:sz w:val="24"/>
        </w:rPr>
        <w:t>Officers.</w:t>
      </w:r>
    </w:p>
    <w:p w14:paraId="4E61D7DA" w14:textId="77777777" w:rsidR="006C4E44" w:rsidRPr="00F1082A" w:rsidRDefault="006C4E44" w:rsidP="00C40BF8">
      <w:pPr>
        <w:pStyle w:val="BodyText"/>
        <w:spacing w:before="8"/>
        <w:ind w:left="0"/>
        <w:rPr>
          <w:sz w:val="20"/>
          <w:szCs w:val="28"/>
        </w:rPr>
      </w:pPr>
    </w:p>
    <w:p w14:paraId="1AA2A189" w14:textId="77777777" w:rsidR="006C4E44" w:rsidRDefault="00292B17" w:rsidP="00C40BF8">
      <w:pPr>
        <w:pStyle w:val="ListParagraph"/>
        <w:numPr>
          <w:ilvl w:val="2"/>
          <w:numId w:val="1"/>
        </w:numPr>
        <w:tabs>
          <w:tab w:val="left" w:pos="829"/>
        </w:tabs>
        <w:ind w:left="720" w:right="187"/>
        <w:rPr>
          <w:sz w:val="24"/>
        </w:rPr>
      </w:pPr>
      <w:r>
        <w:rPr>
          <w:sz w:val="24"/>
        </w:rPr>
        <w:t>To annually communicate the Code of Business Conduct and Ethics to the Board of Directors and all</w:t>
      </w:r>
      <w:r>
        <w:rPr>
          <w:spacing w:val="-1"/>
          <w:sz w:val="24"/>
        </w:rPr>
        <w:t xml:space="preserve"> </w:t>
      </w:r>
      <w:r>
        <w:rPr>
          <w:sz w:val="24"/>
        </w:rPr>
        <w:t>officers.</w:t>
      </w:r>
    </w:p>
    <w:p w14:paraId="6C1BC85A" w14:textId="77777777" w:rsidR="006C4E44" w:rsidRPr="00F1082A" w:rsidRDefault="006C4E44" w:rsidP="00C40BF8">
      <w:pPr>
        <w:pStyle w:val="BodyText"/>
        <w:spacing w:before="7"/>
        <w:ind w:left="0"/>
        <w:rPr>
          <w:sz w:val="20"/>
          <w:szCs w:val="28"/>
        </w:rPr>
      </w:pPr>
    </w:p>
    <w:p w14:paraId="00E21EC2" w14:textId="7D2588F0" w:rsidR="006C4E44" w:rsidRDefault="00292B17" w:rsidP="00C40BF8">
      <w:pPr>
        <w:pStyle w:val="ListParagraph"/>
        <w:numPr>
          <w:ilvl w:val="2"/>
          <w:numId w:val="1"/>
        </w:numPr>
        <w:tabs>
          <w:tab w:val="left" w:pos="829"/>
        </w:tabs>
        <w:spacing w:before="1" w:line="242" w:lineRule="auto"/>
        <w:ind w:left="720" w:right="331"/>
        <w:rPr>
          <w:sz w:val="24"/>
        </w:rPr>
      </w:pPr>
      <w:r>
        <w:rPr>
          <w:sz w:val="24"/>
        </w:rPr>
        <w:t>To annually review and approve Compliance and IT policies and</w:t>
      </w:r>
      <w:r w:rsidR="00D20364">
        <w:rPr>
          <w:sz w:val="24"/>
        </w:rPr>
        <w:t xml:space="preserve"> IT Risk Assessment</w:t>
      </w:r>
      <w:r>
        <w:rPr>
          <w:sz w:val="24"/>
        </w:rPr>
        <w:t xml:space="preserve">, </w:t>
      </w:r>
      <w:r w:rsidR="00B740C4">
        <w:rPr>
          <w:sz w:val="24"/>
        </w:rPr>
        <w:t xml:space="preserve">and </w:t>
      </w:r>
      <w:r>
        <w:rPr>
          <w:sz w:val="24"/>
        </w:rPr>
        <w:t>subsequently, recommend the same to the Board of</w:t>
      </w:r>
      <w:r>
        <w:rPr>
          <w:spacing w:val="-3"/>
          <w:sz w:val="24"/>
        </w:rPr>
        <w:t xml:space="preserve"> </w:t>
      </w:r>
      <w:r>
        <w:rPr>
          <w:sz w:val="24"/>
        </w:rPr>
        <w:t>Directors.</w:t>
      </w:r>
    </w:p>
    <w:p w14:paraId="2DFF382C" w14:textId="77777777" w:rsidR="00C40BF8" w:rsidRPr="00F1082A" w:rsidRDefault="00C40BF8" w:rsidP="00C40BF8">
      <w:pPr>
        <w:pStyle w:val="BodyText"/>
        <w:spacing w:before="4"/>
        <w:ind w:left="0"/>
        <w:rPr>
          <w:sz w:val="20"/>
          <w:szCs w:val="28"/>
        </w:rPr>
      </w:pPr>
    </w:p>
    <w:p w14:paraId="2FB0484C" w14:textId="77777777" w:rsidR="006C4E44" w:rsidRDefault="00292B17" w:rsidP="00C40BF8">
      <w:pPr>
        <w:pStyle w:val="ListParagraph"/>
        <w:numPr>
          <w:ilvl w:val="2"/>
          <w:numId w:val="1"/>
        </w:numPr>
        <w:tabs>
          <w:tab w:val="left" w:pos="829"/>
        </w:tabs>
        <w:ind w:left="720" w:right="994"/>
        <w:rPr>
          <w:sz w:val="24"/>
        </w:rPr>
      </w:pPr>
      <w:r>
        <w:rPr>
          <w:sz w:val="24"/>
        </w:rPr>
        <w:t>To receive annually a report from the Information Security Officer concerning the Bank’s information security program and assess that the program and established practices are adequate to reasonably protect non-public</w:t>
      </w:r>
      <w:r>
        <w:rPr>
          <w:spacing w:val="-4"/>
          <w:sz w:val="24"/>
        </w:rPr>
        <w:t xml:space="preserve"> </w:t>
      </w:r>
      <w:r>
        <w:rPr>
          <w:sz w:val="24"/>
        </w:rPr>
        <w:t>information.</w:t>
      </w:r>
    </w:p>
    <w:p w14:paraId="18D268E6" w14:textId="77777777" w:rsidR="006C4E44" w:rsidRDefault="006C4E44" w:rsidP="00C40BF8">
      <w:pPr>
        <w:pStyle w:val="BodyText"/>
        <w:spacing w:before="8"/>
        <w:ind w:left="0"/>
        <w:rPr>
          <w:sz w:val="20"/>
          <w:szCs w:val="28"/>
        </w:rPr>
      </w:pPr>
    </w:p>
    <w:p w14:paraId="5B0EF880" w14:textId="379D3112" w:rsidR="006C4E44" w:rsidRDefault="00292B17" w:rsidP="00C40BF8">
      <w:pPr>
        <w:pStyle w:val="ListParagraph"/>
        <w:numPr>
          <w:ilvl w:val="2"/>
          <w:numId w:val="1"/>
        </w:numPr>
        <w:tabs>
          <w:tab w:val="left" w:pos="829"/>
        </w:tabs>
        <w:ind w:left="720" w:right="187"/>
        <w:rPr>
          <w:sz w:val="24"/>
        </w:rPr>
      </w:pPr>
      <w:r>
        <w:rPr>
          <w:sz w:val="24"/>
        </w:rPr>
        <w:t>To receive a summary or report, at least quarterly, from the BSA Officer relevant to the Bank Secrecy</w:t>
      </w:r>
      <w:r w:rsidRPr="007041CB">
        <w:rPr>
          <w:spacing w:val="-4"/>
          <w:sz w:val="24"/>
        </w:rPr>
        <w:t xml:space="preserve"> </w:t>
      </w:r>
      <w:r>
        <w:rPr>
          <w:sz w:val="24"/>
        </w:rPr>
        <w:t>Act</w:t>
      </w:r>
      <w:r w:rsidRPr="007041CB">
        <w:rPr>
          <w:spacing w:val="-2"/>
          <w:sz w:val="24"/>
        </w:rPr>
        <w:t xml:space="preserve"> </w:t>
      </w:r>
      <w:r>
        <w:rPr>
          <w:sz w:val="24"/>
        </w:rPr>
        <w:t>Program,</w:t>
      </w:r>
      <w:r w:rsidRPr="007041CB">
        <w:rPr>
          <w:spacing w:val="-3"/>
          <w:sz w:val="24"/>
        </w:rPr>
        <w:t xml:space="preserve"> </w:t>
      </w:r>
      <w:r>
        <w:rPr>
          <w:sz w:val="24"/>
        </w:rPr>
        <w:t>including</w:t>
      </w:r>
      <w:r w:rsidRPr="007041CB">
        <w:rPr>
          <w:spacing w:val="-5"/>
          <w:sz w:val="24"/>
        </w:rPr>
        <w:t xml:space="preserve"> </w:t>
      </w:r>
      <w:r>
        <w:rPr>
          <w:sz w:val="24"/>
        </w:rPr>
        <w:t>filing</w:t>
      </w:r>
      <w:r w:rsidRPr="007041CB">
        <w:rPr>
          <w:spacing w:val="-3"/>
          <w:sz w:val="24"/>
        </w:rPr>
        <w:t xml:space="preserve"> </w:t>
      </w:r>
      <w:r>
        <w:rPr>
          <w:sz w:val="24"/>
        </w:rPr>
        <w:t>of</w:t>
      </w:r>
      <w:r w:rsidRPr="007041CB">
        <w:rPr>
          <w:spacing w:val="-3"/>
          <w:sz w:val="24"/>
        </w:rPr>
        <w:t xml:space="preserve"> </w:t>
      </w:r>
      <w:r>
        <w:rPr>
          <w:sz w:val="24"/>
        </w:rPr>
        <w:t>Suspicious</w:t>
      </w:r>
      <w:r w:rsidRPr="007041CB">
        <w:rPr>
          <w:spacing w:val="-5"/>
          <w:sz w:val="24"/>
        </w:rPr>
        <w:t xml:space="preserve"> </w:t>
      </w:r>
      <w:r>
        <w:rPr>
          <w:sz w:val="24"/>
        </w:rPr>
        <w:t>Activity</w:t>
      </w:r>
      <w:r w:rsidRPr="007041CB">
        <w:rPr>
          <w:spacing w:val="-3"/>
          <w:sz w:val="24"/>
        </w:rPr>
        <w:t xml:space="preserve"> </w:t>
      </w:r>
      <w:r>
        <w:rPr>
          <w:sz w:val="24"/>
        </w:rPr>
        <w:t>Reports</w:t>
      </w:r>
      <w:r w:rsidRPr="007041CB">
        <w:rPr>
          <w:spacing w:val="-3"/>
          <w:sz w:val="24"/>
        </w:rPr>
        <w:t xml:space="preserve"> </w:t>
      </w:r>
      <w:r>
        <w:rPr>
          <w:sz w:val="24"/>
        </w:rPr>
        <w:t>(SARs)</w:t>
      </w:r>
      <w:r w:rsidRPr="007041CB">
        <w:rPr>
          <w:spacing w:val="-4"/>
          <w:sz w:val="24"/>
        </w:rPr>
        <w:t xml:space="preserve"> </w:t>
      </w:r>
      <w:r>
        <w:rPr>
          <w:sz w:val="24"/>
        </w:rPr>
        <w:t>from</w:t>
      </w:r>
      <w:r w:rsidRPr="007041CB">
        <w:rPr>
          <w:spacing w:val="-3"/>
          <w:sz w:val="24"/>
        </w:rPr>
        <w:t xml:space="preserve"> </w:t>
      </w:r>
      <w:r>
        <w:rPr>
          <w:sz w:val="24"/>
        </w:rPr>
        <w:t>the</w:t>
      </w:r>
      <w:r w:rsidRPr="007041CB">
        <w:rPr>
          <w:spacing w:val="-4"/>
          <w:sz w:val="24"/>
        </w:rPr>
        <w:t xml:space="preserve"> </w:t>
      </w:r>
      <w:r>
        <w:rPr>
          <w:sz w:val="24"/>
        </w:rPr>
        <w:t>prior</w:t>
      </w:r>
      <w:r w:rsidRPr="007041CB">
        <w:rPr>
          <w:spacing w:val="-3"/>
          <w:sz w:val="24"/>
        </w:rPr>
        <w:t xml:space="preserve"> </w:t>
      </w:r>
      <w:r>
        <w:rPr>
          <w:sz w:val="24"/>
        </w:rPr>
        <w:t xml:space="preserve">quarter. The Committee will approve, at least annually, the BSA Policy &amp; Program and staffing plan, the OFAC Policy and Program, and the BSA and OFAC Risk Assessments. </w:t>
      </w:r>
    </w:p>
    <w:p w14:paraId="68602223" w14:textId="57457A84" w:rsidR="0084169C" w:rsidRDefault="0084169C">
      <w:pPr>
        <w:rPr>
          <w:sz w:val="20"/>
          <w:szCs w:val="28"/>
        </w:rPr>
      </w:pPr>
      <w:r>
        <w:rPr>
          <w:sz w:val="20"/>
          <w:szCs w:val="28"/>
        </w:rPr>
        <w:br w:type="page"/>
      </w:r>
    </w:p>
    <w:p w14:paraId="1F7A08C6" w14:textId="77777777" w:rsidR="006C4E44" w:rsidRPr="00F1082A" w:rsidRDefault="006C4E44" w:rsidP="00B91AFF">
      <w:pPr>
        <w:pStyle w:val="BodyText"/>
        <w:spacing w:before="7"/>
        <w:ind w:left="0"/>
        <w:rPr>
          <w:sz w:val="20"/>
          <w:szCs w:val="28"/>
        </w:rPr>
      </w:pPr>
    </w:p>
    <w:p w14:paraId="4B0A782C" w14:textId="77777777" w:rsidR="006C4E44" w:rsidRDefault="00292B17" w:rsidP="00C40BF8">
      <w:pPr>
        <w:pStyle w:val="ListParagraph"/>
        <w:numPr>
          <w:ilvl w:val="2"/>
          <w:numId w:val="1"/>
        </w:numPr>
        <w:tabs>
          <w:tab w:val="left" w:pos="829"/>
        </w:tabs>
        <w:ind w:left="720" w:right="403"/>
        <w:rPr>
          <w:sz w:val="24"/>
        </w:rPr>
      </w:pPr>
      <w:r>
        <w:rPr>
          <w:sz w:val="24"/>
        </w:rPr>
        <w:t>To</w:t>
      </w:r>
      <w:r>
        <w:rPr>
          <w:spacing w:val="-2"/>
          <w:sz w:val="24"/>
        </w:rPr>
        <w:t xml:space="preserve"> </w:t>
      </w:r>
      <w:r>
        <w:rPr>
          <w:sz w:val="24"/>
        </w:rPr>
        <w:t>receive</w:t>
      </w:r>
      <w:r>
        <w:rPr>
          <w:spacing w:val="-5"/>
          <w:sz w:val="24"/>
        </w:rPr>
        <w:t xml:space="preserve"> </w:t>
      </w:r>
      <w:r>
        <w:rPr>
          <w:sz w:val="24"/>
        </w:rPr>
        <w:t>a</w:t>
      </w:r>
      <w:r>
        <w:rPr>
          <w:spacing w:val="-3"/>
          <w:sz w:val="24"/>
        </w:rPr>
        <w:t xml:space="preserve"> </w:t>
      </w:r>
      <w:r>
        <w:rPr>
          <w:sz w:val="24"/>
        </w:rPr>
        <w:t>report,</w:t>
      </w:r>
      <w:r>
        <w:rPr>
          <w:spacing w:val="-5"/>
          <w:sz w:val="24"/>
        </w:rPr>
        <w:t xml:space="preserve"> </w:t>
      </w:r>
      <w:r>
        <w:rPr>
          <w:sz w:val="24"/>
        </w:rPr>
        <w:t>at</w:t>
      </w:r>
      <w:r>
        <w:rPr>
          <w:spacing w:val="-2"/>
          <w:sz w:val="24"/>
        </w:rPr>
        <w:t xml:space="preserve"> </w:t>
      </w:r>
      <w:r>
        <w:rPr>
          <w:sz w:val="24"/>
        </w:rPr>
        <w:t>least</w:t>
      </w:r>
      <w:r>
        <w:rPr>
          <w:spacing w:val="-2"/>
          <w:sz w:val="24"/>
        </w:rPr>
        <w:t xml:space="preserve"> </w:t>
      </w:r>
      <w:r>
        <w:rPr>
          <w:sz w:val="24"/>
        </w:rPr>
        <w:t>quarterly,</w:t>
      </w:r>
      <w:r>
        <w:rPr>
          <w:spacing w:val="-5"/>
          <w:sz w:val="24"/>
        </w:rPr>
        <w:t xml:space="preserve"> </w:t>
      </w:r>
      <w:r>
        <w:rPr>
          <w:sz w:val="24"/>
        </w:rPr>
        <w:t>from</w:t>
      </w:r>
      <w:r>
        <w:rPr>
          <w:spacing w:val="-5"/>
          <w:sz w:val="24"/>
        </w:rPr>
        <w:t xml:space="preserve"> </w:t>
      </w:r>
      <w:r>
        <w:rPr>
          <w:sz w:val="24"/>
        </w:rPr>
        <w:t>the</w:t>
      </w:r>
      <w:r>
        <w:rPr>
          <w:spacing w:val="-2"/>
          <w:sz w:val="24"/>
        </w:rPr>
        <w:t xml:space="preserve"> </w:t>
      </w:r>
      <w:r>
        <w:rPr>
          <w:sz w:val="24"/>
        </w:rPr>
        <w:t>Compliance</w:t>
      </w:r>
      <w:r>
        <w:rPr>
          <w:spacing w:val="-5"/>
          <w:sz w:val="24"/>
        </w:rPr>
        <w:t xml:space="preserve"> </w:t>
      </w:r>
      <w:r>
        <w:rPr>
          <w:sz w:val="24"/>
        </w:rPr>
        <w:t>Officer</w:t>
      </w:r>
      <w:r>
        <w:rPr>
          <w:spacing w:val="-2"/>
          <w:sz w:val="24"/>
        </w:rPr>
        <w:t xml:space="preserve"> </w:t>
      </w:r>
      <w:r>
        <w:rPr>
          <w:sz w:val="24"/>
        </w:rPr>
        <w:t>relevant</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Compliance Program to include an update on training and the results of monitoring activities, including reports issued to management and management’s response to those</w:t>
      </w:r>
      <w:r>
        <w:rPr>
          <w:spacing w:val="-6"/>
          <w:sz w:val="24"/>
        </w:rPr>
        <w:t xml:space="preserve"> </w:t>
      </w:r>
      <w:r>
        <w:rPr>
          <w:sz w:val="24"/>
        </w:rPr>
        <w:t>reports.</w:t>
      </w:r>
    </w:p>
    <w:p w14:paraId="6BB1198E" w14:textId="77777777" w:rsidR="006C4E44" w:rsidRPr="00F1082A" w:rsidRDefault="006C4E44">
      <w:pPr>
        <w:pStyle w:val="BodyText"/>
        <w:spacing w:before="8"/>
        <w:ind w:left="0"/>
        <w:rPr>
          <w:sz w:val="20"/>
          <w:szCs w:val="28"/>
        </w:rPr>
      </w:pPr>
    </w:p>
    <w:p w14:paraId="042E5A2B" w14:textId="77777777" w:rsidR="006C4E44" w:rsidRDefault="00292B17" w:rsidP="00C40BF8">
      <w:pPr>
        <w:pStyle w:val="ListParagraph"/>
        <w:numPr>
          <w:ilvl w:val="2"/>
          <w:numId w:val="1"/>
        </w:numPr>
        <w:tabs>
          <w:tab w:val="left" w:pos="829"/>
        </w:tabs>
        <w:ind w:left="720"/>
        <w:rPr>
          <w:sz w:val="24"/>
        </w:rPr>
      </w:pPr>
      <w:r>
        <w:rPr>
          <w:sz w:val="24"/>
        </w:rPr>
        <w:t>To annually receive the financial report on the Bank’s major</w:t>
      </w:r>
      <w:r>
        <w:rPr>
          <w:spacing w:val="-4"/>
          <w:sz w:val="24"/>
        </w:rPr>
        <w:t xml:space="preserve"> </w:t>
      </w:r>
      <w:r>
        <w:rPr>
          <w:sz w:val="24"/>
        </w:rPr>
        <w:t>vendors.</w:t>
      </w:r>
    </w:p>
    <w:p w14:paraId="0145E796" w14:textId="77777777" w:rsidR="006C4E44" w:rsidRPr="00F1082A" w:rsidRDefault="006C4E44">
      <w:pPr>
        <w:pStyle w:val="BodyText"/>
        <w:spacing w:before="8"/>
        <w:ind w:left="0"/>
        <w:rPr>
          <w:sz w:val="20"/>
          <w:szCs w:val="28"/>
        </w:rPr>
      </w:pPr>
    </w:p>
    <w:p w14:paraId="71D20F4D" w14:textId="77777777" w:rsidR="006C4E44" w:rsidRDefault="00292B17" w:rsidP="00C40BF8">
      <w:pPr>
        <w:pStyle w:val="ListParagraph"/>
        <w:numPr>
          <w:ilvl w:val="2"/>
          <w:numId w:val="1"/>
        </w:numPr>
        <w:tabs>
          <w:tab w:val="left" w:pos="829"/>
        </w:tabs>
        <w:spacing w:line="242" w:lineRule="auto"/>
        <w:ind w:left="720" w:right="130"/>
        <w:rPr>
          <w:sz w:val="24"/>
        </w:rPr>
      </w:pPr>
      <w:r>
        <w:rPr>
          <w:sz w:val="24"/>
        </w:rPr>
        <w:t>To discuss with the Company’s General Counsel legal matters that may have a material impact</w:t>
      </w:r>
      <w:r>
        <w:rPr>
          <w:spacing w:val="-38"/>
          <w:sz w:val="24"/>
        </w:rPr>
        <w:t xml:space="preserve"> </w:t>
      </w:r>
      <w:r>
        <w:rPr>
          <w:sz w:val="24"/>
        </w:rPr>
        <w:t>on the financial statements or the Company’s compliance</w:t>
      </w:r>
      <w:r>
        <w:rPr>
          <w:spacing w:val="-4"/>
          <w:sz w:val="24"/>
        </w:rPr>
        <w:t xml:space="preserve"> </w:t>
      </w:r>
      <w:r>
        <w:rPr>
          <w:sz w:val="24"/>
        </w:rPr>
        <w:t>policies.</w:t>
      </w:r>
    </w:p>
    <w:p w14:paraId="22A1E474" w14:textId="77777777" w:rsidR="006C4E44" w:rsidRPr="00F1082A" w:rsidRDefault="006C4E44">
      <w:pPr>
        <w:pStyle w:val="BodyText"/>
        <w:spacing w:before="4"/>
        <w:ind w:left="0"/>
        <w:rPr>
          <w:sz w:val="20"/>
          <w:szCs w:val="28"/>
        </w:rPr>
      </w:pPr>
    </w:p>
    <w:p w14:paraId="37C5EF50" w14:textId="77777777" w:rsidR="006C4E44" w:rsidRPr="00EC441E" w:rsidRDefault="00292B17" w:rsidP="00C40BF8">
      <w:pPr>
        <w:pStyle w:val="ListParagraph"/>
        <w:numPr>
          <w:ilvl w:val="2"/>
          <w:numId w:val="1"/>
        </w:numPr>
        <w:tabs>
          <w:tab w:val="left" w:pos="829"/>
        </w:tabs>
        <w:ind w:left="720" w:right="806"/>
        <w:rPr>
          <w:sz w:val="24"/>
        </w:rPr>
      </w:pPr>
      <w:r w:rsidRPr="00EC441E">
        <w:rPr>
          <w:sz w:val="24"/>
        </w:rPr>
        <w:t>To annually review the Bank's fidelity bond and other insurance coverage and recommend approval to the Board of</w:t>
      </w:r>
      <w:r w:rsidRPr="00EC441E">
        <w:rPr>
          <w:spacing w:val="-8"/>
          <w:sz w:val="24"/>
        </w:rPr>
        <w:t xml:space="preserve"> </w:t>
      </w:r>
      <w:r w:rsidRPr="00EC441E">
        <w:rPr>
          <w:sz w:val="24"/>
        </w:rPr>
        <w:t>Directors.</w:t>
      </w:r>
    </w:p>
    <w:p w14:paraId="3F7A9A3E" w14:textId="77777777" w:rsidR="006C4E44" w:rsidRPr="00EC441E" w:rsidRDefault="006C4E44">
      <w:pPr>
        <w:pStyle w:val="BodyText"/>
        <w:spacing w:before="8"/>
        <w:ind w:left="0"/>
        <w:rPr>
          <w:sz w:val="20"/>
          <w:szCs w:val="28"/>
        </w:rPr>
      </w:pPr>
    </w:p>
    <w:p w14:paraId="7B700B18" w14:textId="7217D211" w:rsidR="006C4E44" w:rsidRPr="009F377F" w:rsidRDefault="00292B17" w:rsidP="00C40BF8">
      <w:pPr>
        <w:pStyle w:val="ListParagraph"/>
        <w:numPr>
          <w:ilvl w:val="2"/>
          <w:numId w:val="1"/>
        </w:numPr>
        <w:tabs>
          <w:tab w:val="left" w:pos="829"/>
        </w:tabs>
        <w:ind w:left="720"/>
        <w:rPr>
          <w:sz w:val="24"/>
          <w:szCs w:val="24"/>
        </w:rPr>
      </w:pPr>
      <w:r w:rsidRPr="00EC441E">
        <w:rPr>
          <w:sz w:val="24"/>
        </w:rPr>
        <w:t xml:space="preserve">To receive </w:t>
      </w:r>
      <w:r w:rsidR="009F377F" w:rsidRPr="00EC441E">
        <w:rPr>
          <w:sz w:val="24"/>
        </w:rPr>
        <w:t xml:space="preserve">the results of </w:t>
      </w:r>
      <w:r w:rsidRPr="00EC441E">
        <w:rPr>
          <w:sz w:val="24"/>
        </w:rPr>
        <w:t>Quality Control reports, at least quarterly, on mortgage loans closed by</w:t>
      </w:r>
      <w:r w:rsidRPr="009F377F">
        <w:rPr>
          <w:sz w:val="24"/>
        </w:rPr>
        <w:t xml:space="preserve"> the</w:t>
      </w:r>
      <w:r w:rsidRPr="009F377F">
        <w:rPr>
          <w:spacing w:val="-25"/>
          <w:sz w:val="24"/>
        </w:rPr>
        <w:t xml:space="preserve"> </w:t>
      </w:r>
      <w:r w:rsidRPr="009F377F">
        <w:rPr>
          <w:sz w:val="24"/>
        </w:rPr>
        <w:t>Bank’s</w:t>
      </w:r>
      <w:r w:rsidR="005758ED" w:rsidRPr="009F377F">
        <w:rPr>
          <w:sz w:val="24"/>
        </w:rPr>
        <w:t xml:space="preserve"> </w:t>
      </w:r>
      <w:r w:rsidRPr="009F377F">
        <w:rPr>
          <w:sz w:val="24"/>
          <w:szCs w:val="24"/>
        </w:rPr>
        <w:t>mortgage division that are sold in the secondary market</w:t>
      </w:r>
      <w:proofErr w:type="gramStart"/>
      <w:r w:rsidR="009F377F">
        <w:rPr>
          <w:sz w:val="24"/>
          <w:szCs w:val="24"/>
        </w:rPr>
        <w:t xml:space="preserve">. </w:t>
      </w:r>
      <w:r w:rsidRPr="009F377F">
        <w:rPr>
          <w:sz w:val="24"/>
          <w:szCs w:val="24"/>
        </w:rPr>
        <w:t>,</w:t>
      </w:r>
      <w:proofErr w:type="gramEnd"/>
      <w:r w:rsidRPr="009F377F">
        <w:rPr>
          <w:sz w:val="24"/>
          <w:szCs w:val="24"/>
        </w:rPr>
        <w:t>.</w:t>
      </w:r>
    </w:p>
    <w:p w14:paraId="14668ABD" w14:textId="77777777" w:rsidR="006C4E44" w:rsidRPr="00F1082A" w:rsidRDefault="006C4E44">
      <w:pPr>
        <w:pStyle w:val="BodyText"/>
        <w:spacing w:before="8"/>
        <w:ind w:left="0"/>
        <w:rPr>
          <w:sz w:val="20"/>
          <w:szCs w:val="28"/>
        </w:rPr>
      </w:pPr>
    </w:p>
    <w:p w14:paraId="3CE5213E" w14:textId="5665FE25" w:rsidR="006C4E44" w:rsidRDefault="00292B17" w:rsidP="00C40BF8">
      <w:pPr>
        <w:pStyle w:val="ListParagraph"/>
        <w:numPr>
          <w:ilvl w:val="2"/>
          <w:numId w:val="1"/>
        </w:numPr>
        <w:tabs>
          <w:tab w:val="left" w:pos="829"/>
        </w:tabs>
        <w:ind w:left="720"/>
        <w:rPr>
          <w:sz w:val="24"/>
        </w:rPr>
      </w:pPr>
      <w:r>
        <w:rPr>
          <w:sz w:val="24"/>
        </w:rPr>
        <w:t xml:space="preserve">To annually approve the </w:t>
      </w:r>
      <w:r w:rsidR="00C33444">
        <w:rPr>
          <w:sz w:val="24"/>
        </w:rPr>
        <w:t xml:space="preserve">Mortgage </w:t>
      </w:r>
      <w:r>
        <w:rPr>
          <w:sz w:val="24"/>
        </w:rPr>
        <w:t>Quality Control Plan that governs the Quality Control</w:t>
      </w:r>
      <w:r>
        <w:rPr>
          <w:spacing w:val="-13"/>
          <w:sz w:val="24"/>
        </w:rPr>
        <w:t xml:space="preserve"> </w:t>
      </w:r>
      <w:r>
        <w:rPr>
          <w:sz w:val="24"/>
        </w:rPr>
        <w:t>process</w:t>
      </w:r>
      <w:r w:rsidR="00C87B00">
        <w:rPr>
          <w:sz w:val="24"/>
        </w:rPr>
        <w:t xml:space="preserve"> and the Mortgage Policy and Risk Assessment</w:t>
      </w:r>
      <w:r>
        <w:rPr>
          <w:sz w:val="24"/>
        </w:rPr>
        <w:t>.</w:t>
      </w:r>
    </w:p>
    <w:p w14:paraId="3D392449" w14:textId="77777777" w:rsidR="006C4E44" w:rsidRPr="00F1082A" w:rsidRDefault="006C4E44">
      <w:pPr>
        <w:pStyle w:val="BodyText"/>
        <w:spacing w:before="8"/>
        <w:ind w:left="0"/>
        <w:rPr>
          <w:sz w:val="20"/>
          <w:szCs w:val="28"/>
        </w:rPr>
      </w:pPr>
    </w:p>
    <w:p w14:paraId="176E89A2" w14:textId="06522C4A" w:rsidR="006C4E44" w:rsidRPr="00B740C4" w:rsidRDefault="00292B17" w:rsidP="00C40BF8">
      <w:pPr>
        <w:pStyle w:val="ListParagraph"/>
        <w:numPr>
          <w:ilvl w:val="2"/>
          <w:numId w:val="1"/>
        </w:numPr>
        <w:tabs>
          <w:tab w:val="left" w:pos="829"/>
        </w:tabs>
        <w:ind w:left="720"/>
        <w:rPr>
          <w:sz w:val="24"/>
          <w:szCs w:val="24"/>
        </w:rPr>
      </w:pPr>
      <w:r>
        <w:rPr>
          <w:sz w:val="24"/>
        </w:rPr>
        <w:t xml:space="preserve">To review the effectiveness of the system or </w:t>
      </w:r>
      <w:proofErr w:type="gramStart"/>
      <w:r>
        <w:rPr>
          <w:sz w:val="24"/>
        </w:rPr>
        <w:t>monitoring</w:t>
      </w:r>
      <w:proofErr w:type="gramEnd"/>
      <w:r>
        <w:rPr>
          <w:sz w:val="24"/>
        </w:rPr>
        <w:t xml:space="preserve"> compliance with laws and</w:t>
      </w:r>
      <w:r w:rsidRPr="00B740C4">
        <w:rPr>
          <w:spacing w:val="-16"/>
          <w:sz w:val="24"/>
        </w:rPr>
        <w:t xml:space="preserve"> </w:t>
      </w:r>
      <w:r>
        <w:rPr>
          <w:sz w:val="24"/>
        </w:rPr>
        <w:t>regulations</w:t>
      </w:r>
      <w:r w:rsidR="00B740C4">
        <w:rPr>
          <w:sz w:val="24"/>
        </w:rPr>
        <w:t xml:space="preserve"> </w:t>
      </w:r>
      <w:r>
        <w:t xml:space="preserve">and </w:t>
      </w:r>
      <w:r w:rsidRPr="00B740C4">
        <w:rPr>
          <w:sz w:val="24"/>
          <w:szCs w:val="24"/>
        </w:rPr>
        <w:t>the results of management’s investigation and follow-up of any instances of noncompliance.</w:t>
      </w:r>
    </w:p>
    <w:p w14:paraId="06A2C254" w14:textId="77777777" w:rsidR="006C4E44" w:rsidRPr="00F1082A" w:rsidRDefault="006C4E44">
      <w:pPr>
        <w:pStyle w:val="BodyText"/>
        <w:spacing w:before="8"/>
        <w:ind w:left="0"/>
        <w:rPr>
          <w:sz w:val="20"/>
          <w:szCs w:val="28"/>
        </w:rPr>
      </w:pPr>
    </w:p>
    <w:p w14:paraId="2D05C604" w14:textId="77777777" w:rsidR="006C4E44" w:rsidRDefault="00292B17" w:rsidP="00C40BF8">
      <w:pPr>
        <w:pStyle w:val="ListParagraph"/>
        <w:numPr>
          <w:ilvl w:val="2"/>
          <w:numId w:val="1"/>
        </w:numPr>
        <w:tabs>
          <w:tab w:val="left" w:pos="829"/>
        </w:tabs>
        <w:ind w:left="720" w:right="734"/>
        <w:rPr>
          <w:sz w:val="24"/>
        </w:rPr>
      </w:pPr>
      <w:r>
        <w:rPr>
          <w:sz w:val="24"/>
        </w:rPr>
        <w:t>To receive monitoring reports from the Remote Deposit Capture and ACH processes and to approve Policies related to these</w:t>
      </w:r>
      <w:r>
        <w:rPr>
          <w:spacing w:val="-5"/>
          <w:sz w:val="24"/>
        </w:rPr>
        <w:t xml:space="preserve"> </w:t>
      </w:r>
      <w:r>
        <w:rPr>
          <w:sz w:val="24"/>
        </w:rPr>
        <w:t>activities.</w:t>
      </w:r>
    </w:p>
    <w:p w14:paraId="518A5574" w14:textId="77777777" w:rsidR="006C4E44" w:rsidRPr="00F1082A" w:rsidRDefault="006C4E44">
      <w:pPr>
        <w:pStyle w:val="BodyText"/>
        <w:spacing w:before="8"/>
        <w:ind w:left="0"/>
        <w:rPr>
          <w:sz w:val="20"/>
          <w:szCs w:val="28"/>
        </w:rPr>
      </w:pPr>
    </w:p>
    <w:p w14:paraId="03CEF50A" w14:textId="3AA0ED86" w:rsidR="006C4E44" w:rsidRPr="00C40BF8" w:rsidRDefault="00292B17" w:rsidP="00C40BF8">
      <w:pPr>
        <w:pStyle w:val="ListParagraph"/>
        <w:numPr>
          <w:ilvl w:val="2"/>
          <w:numId w:val="1"/>
        </w:numPr>
        <w:tabs>
          <w:tab w:val="left" w:pos="828"/>
        </w:tabs>
        <w:ind w:left="720"/>
      </w:pPr>
      <w:r>
        <w:rPr>
          <w:sz w:val="24"/>
        </w:rPr>
        <w:t>To receive a summary report, at least quarterly, from the Compliance Officer that details</w:t>
      </w:r>
      <w:r w:rsidRPr="00B740C4">
        <w:rPr>
          <w:spacing w:val="-31"/>
          <w:sz w:val="24"/>
        </w:rPr>
        <w:t xml:space="preserve"> </w:t>
      </w:r>
      <w:r>
        <w:rPr>
          <w:sz w:val="24"/>
        </w:rPr>
        <w:t>the</w:t>
      </w:r>
      <w:r w:rsidR="00B740C4">
        <w:rPr>
          <w:sz w:val="24"/>
        </w:rPr>
        <w:t xml:space="preserve"> </w:t>
      </w:r>
      <w:r w:rsidRPr="00B740C4">
        <w:rPr>
          <w:sz w:val="24"/>
          <w:szCs w:val="24"/>
        </w:rPr>
        <w:t>bank’s CRA</w:t>
      </w:r>
      <w:r w:rsidR="00A4519C" w:rsidRPr="00B740C4">
        <w:rPr>
          <w:sz w:val="24"/>
          <w:szCs w:val="24"/>
        </w:rPr>
        <w:t>, HMDA and Fair Lending</w:t>
      </w:r>
      <w:r w:rsidRPr="00B740C4">
        <w:rPr>
          <w:sz w:val="24"/>
          <w:szCs w:val="24"/>
        </w:rPr>
        <w:t xml:space="preserve"> activity.</w:t>
      </w:r>
    </w:p>
    <w:p w14:paraId="7AB3E93E" w14:textId="77777777" w:rsidR="00C40BF8" w:rsidRPr="00C40BF8" w:rsidRDefault="00C40BF8" w:rsidP="00C40BF8">
      <w:pPr>
        <w:tabs>
          <w:tab w:val="left" w:pos="828"/>
        </w:tabs>
        <w:rPr>
          <w:sz w:val="20"/>
          <w:szCs w:val="20"/>
        </w:rPr>
      </w:pPr>
    </w:p>
    <w:p w14:paraId="1F0DFDA1" w14:textId="77777777" w:rsidR="006C4E44" w:rsidRDefault="00292B17" w:rsidP="00C40BF8">
      <w:pPr>
        <w:pStyle w:val="ListParagraph"/>
        <w:numPr>
          <w:ilvl w:val="2"/>
          <w:numId w:val="1"/>
        </w:numPr>
        <w:tabs>
          <w:tab w:val="left" w:pos="828"/>
        </w:tabs>
        <w:spacing w:before="27"/>
        <w:ind w:left="720"/>
        <w:rPr>
          <w:sz w:val="24"/>
        </w:rPr>
      </w:pPr>
      <w:r>
        <w:rPr>
          <w:sz w:val="24"/>
        </w:rPr>
        <w:t>To provide input to the senior audit executive’s annual performance</w:t>
      </w:r>
      <w:r>
        <w:rPr>
          <w:spacing w:val="-13"/>
          <w:sz w:val="24"/>
        </w:rPr>
        <w:t xml:space="preserve"> </w:t>
      </w:r>
      <w:r>
        <w:rPr>
          <w:sz w:val="24"/>
        </w:rPr>
        <w:t>evaluation.</w:t>
      </w:r>
    </w:p>
    <w:p w14:paraId="76C7D038" w14:textId="77777777" w:rsidR="006C4E44" w:rsidRPr="00103BCD" w:rsidRDefault="006C4E44">
      <w:pPr>
        <w:pStyle w:val="BodyText"/>
        <w:spacing w:before="8"/>
        <w:ind w:left="0"/>
        <w:rPr>
          <w:sz w:val="20"/>
          <w:szCs w:val="28"/>
        </w:rPr>
      </w:pPr>
    </w:p>
    <w:p w14:paraId="6A8BE02A" w14:textId="24705B07" w:rsidR="006C4E44" w:rsidRDefault="00292B17" w:rsidP="00C40BF8">
      <w:pPr>
        <w:pStyle w:val="ListParagraph"/>
        <w:numPr>
          <w:ilvl w:val="2"/>
          <w:numId w:val="1"/>
        </w:numPr>
        <w:tabs>
          <w:tab w:val="left" w:pos="828"/>
        </w:tabs>
        <w:ind w:left="720" w:right="547"/>
        <w:rPr>
          <w:sz w:val="24"/>
        </w:rPr>
      </w:pPr>
      <w:r>
        <w:rPr>
          <w:sz w:val="24"/>
        </w:rPr>
        <w:t xml:space="preserve">To annually review and approve the Intercompany Policy, </w:t>
      </w:r>
      <w:r w:rsidR="009A2B65">
        <w:rPr>
          <w:sz w:val="24"/>
        </w:rPr>
        <w:t xml:space="preserve">Income Tax Allocation Agreement, and Reg. F Policy </w:t>
      </w:r>
      <w:r>
        <w:rPr>
          <w:sz w:val="24"/>
        </w:rPr>
        <w:t>and subsequently, recommend</w:t>
      </w:r>
      <w:r>
        <w:rPr>
          <w:spacing w:val="-39"/>
          <w:sz w:val="24"/>
        </w:rPr>
        <w:t xml:space="preserve"> </w:t>
      </w:r>
      <w:r>
        <w:rPr>
          <w:sz w:val="24"/>
        </w:rPr>
        <w:t>the same to the Board o</w:t>
      </w:r>
      <w:r w:rsidR="00A03698">
        <w:rPr>
          <w:sz w:val="24"/>
        </w:rPr>
        <w:t>f</w:t>
      </w:r>
      <w:r>
        <w:rPr>
          <w:spacing w:val="-3"/>
          <w:sz w:val="24"/>
        </w:rPr>
        <w:t xml:space="preserve"> </w:t>
      </w:r>
      <w:r>
        <w:rPr>
          <w:sz w:val="24"/>
        </w:rPr>
        <w:t>Directors.</w:t>
      </w:r>
    </w:p>
    <w:p w14:paraId="132393C9" w14:textId="77777777" w:rsidR="006C4E44" w:rsidRPr="00103BCD" w:rsidRDefault="006C4E44">
      <w:pPr>
        <w:pStyle w:val="BodyText"/>
        <w:spacing w:before="8"/>
        <w:ind w:left="0"/>
        <w:rPr>
          <w:sz w:val="20"/>
          <w:szCs w:val="28"/>
        </w:rPr>
      </w:pPr>
    </w:p>
    <w:p w14:paraId="56E94868" w14:textId="4B13CCEE" w:rsidR="006C4E44" w:rsidRDefault="00292B17" w:rsidP="00C40BF8">
      <w:pPr>
        <w:pStyle w:val="ListParagraph"/>
        <w:numPr>
          <w:ilvl w:val="2"/>
          <w:numId w:val="1"/>
        </w:numPr>
        <w:tabs>
          <w:tab w:val="left" w:pos="828"/>
        </w:tabs>
        <w:ind w:left="720" w:right="1166"/>
        <w:rPr>
          <w:sz w:val="24"/>
        </w:rPr>
      </w:pPr>
      <w:r>
        <w:rPr>
          <w:sz w:val="24"/>
        </w:rPr>
        <w:t>To review quarterly updates from the Information Security Officer regarding Information</w:t>
      </w:r>
      <w:r>
        <w:rPr>
          <w:spacing w:val="-5"/>
          <w:sz w:val="24"/>
        </w:rPr>
        <w:t xml:space="preserve"> </w:t>
      </w:r>
      <w:r>
        <w:rPr>
          <w:sz w:val="24"/>
        </w:rPr>
        <w:t>Security as well as any IT Operations and Information Technology matters of significance.</w:t>
      </w:r>
    </w:p>
    <w:p w14:paraId="4E8B9512" w14:textId="77777777" w:rsidR="006C4E44" w:rsidRPr="00103BCD" w:rsidRDefault="006C4E44">
      <w:pPr>
        <w:pStyle w:val="BodyText"/>
        <w:spacing w:before="8"/>
        <w:ind w:left="0"/>
        <w:rPr>
          <w:sz w:val="20"/>
          <w:szCs w:val="28"/>
        </w:rPr>
      </w:pPr>
    </w:p>
    <w:p w14:paraId="5BE2C4D4" w14:textId="77777777" w:rsidR="006C4E44" w:rsidRDefault="00292B17" w:rsidP="00C40BF8">
      <w:pPr>
        <w:pStyle w:val="ListParagraph"/>
        <w:numPr>
          <w:ilvl w:val="2"/>
          <w:numId w:val="1"/>
        </w:numPr>
        <w:tabs>
          <w:tab w:val="left" w:pos="828"/>
        </w:tabs>
        <w:ind w:left="720" w:right="1224"/>
        <w:rPr>
          <w:sz w:val="24"/>
        </w:rPr>
      </w:pPr>
      <w:r>
        <w:rPr>
          <w:sz w:val="24"/>
        </w:rPr>
        <w:t>To receive periodic reports from the Chief Risk Officer (CRO) related to Enterprise Risk Management (ERM).</w:t>
      </w:r>
    </w:p>
    <w:p w14:paraId="25A5EB6F" w14:textId="77777777" w:rsidR="006C4E44" w:rsidRPr="00103BCD" w:rsidRDefault="006C4E44">
      <w:pPr>
        <w:pStyle w:val="BodyText"/>
        <w:spacing w:before="7"/>
        <w:ind w:left="0"/>
        <w:rPr>
          <w:sz w:val="20"/>
          <w:szCs w:val="28"/>
        </w:rPr>
      </w:pPr>
    </w:p>
    <w:p w14:paraId="6945C2CF" w14:textId="77777777" w:rsidR="006C4E44" w:rsidRDefault="00292B17" w:rsidP="00C40BF8">
      <w:pPr>
        <w:pStyle w:val="ListParagraph"/>
        <w:numPr>
          <w:ilvl w:val="2"/>
          <w:numId w:val="1"/>
        </w:numPr>
        <w:tabs>
          <w:tab w:val="left" w:pos="828"/>
        </w:tabs>
        <w:spacing w:before="1" w:line="242" w:lineRule="auto"/>
        <w:ind w:left="720" w:right="720"/>
        <w:rPr>
          <w:sz w:val="24"/>
        </w:rPr>
      </w:pPr>
      <w:r>
        <w:rPr>
          <w:sz w:val="24"/>
        </w:rPr>
        <w:t>To receive an annual Overdraft Protection (ODP) report and approve Policies related to</w:t>
      </w:r>
      <w:r>
        <w:rPr>
          <w:spacing w:val="-37"/>
          <w:sz w:val="24"/>
        </w:rPr>
        <w:t xml:space="preserve"> </w:t>
      </w:r>
      <w:r>
        <w:rPr>
          <w:sz w:val="24"/>
        </w:rPr>
        <w:t>this activity.</w:t>
      </w:r>
    </w:p>
    <w:p w14:paraId="1647130F" w14:textId="77777777" w:rsidR="005F12C2" w:rsidRPr="00103BCD" w:rsidRDefault="005F12C2" w:rsidP="00103BCD">
      <w:pPr>
        <w:pStyle w:val="ListParagraph"/>
        <w:rPr>
          <w:sz w:val="20"/>
          <w:szCs w:val="18"/>
        </w:rPr>
      </w:pPr>
    </w:p>
    <w:p w14:paraId="672D5C58" w14:textId="7C1F77CB" w:rsidR="005F12C2" w:rsidRDefault="005F12C2" w:rsidP="00C40BF8">
      <w:pPr>
        <w:pStyle w:val="ListParagraph"/>
        <w:widowControl/>
        <w:numPr>
          <w:ilvl w:val="2"/>
          <w:numId w:val="1"/>
        </w:numPr>
        <w:autoSpaceDE/>
        <w:autoSpaceDN/>
        <w:ind w:left="720"/>
        <w:rPr>
          <w:rFonts w:eastAsia="Times New Roman"/>
          <w:sz w:val="24"/>
          <w:szCs w:val="24"/>
          <w:lang w:bidi="ar-SA"/>
        </w:rPr>
      </w:pPr>
      <w:r>
        <w:rPr>
          <w:rFonts w:eastAsia="Times New Roman"/>
          <w:sz w:val="24"/>
          <w:szCs w:val="24"/>
          <w:lang w:bidi="ar-SA"/>
        </w:rPr>
        <w:t>To annually review and a</w:t>
      </w:r>
      <w:r w:rsidRPr="00103BCD">
        <w:rPr>
          <w:rFonts w:eastAsia="Times New Roman"/>
          <w:sz w:val="24"/>
          <w:szCs w:val="24"/>
          <w:lang w:bidi="ar-SA"/>
        </w:rPr>
        <w:t>pprove the IT and Cybersecurity Strategic Plan</w:t>
      </w:r>
      <w:r>
        <w:rPr>
          <w:rFonts w:eastAsia="Times New Roman"/>
          <w:sz w:val="24"/>
          <w:szCs w:val="24"/>
          <w:lang w:bidi="ar-SA"/>
        </w:rPr>
        <w:t xml:space="preserve">. </w:t>
      </w:r>
    </w:p>
    <w:p w14:paraId="3BA2BBD7" w14:textId="77777777" w:rsidR="005F12C2" w:rsidRPr="00103BCD" w:rsidRDefault="005F12C2" w:rsidP="00103BCD">
      <w:pPr>
        <w:pStyle w:val="ListParagraph"/>
        <w:rPr>
          <w:rFonts w:eastAsia="Times New Roman"/>
          <w:sz w:val="20"/>
          <w:szCs w:val="20"/>
          <w:lang w:bidi="ar-SA"/>
        </w:rPr>
      </w:pPr>
    </w:p>
    <w:p w14:paraId="39F9B508" w14:textId="1A75D029" w:rsidR="005F12C2" w:rsidRDefault="00A04DD2" w:rsidP="00C40BF8">
      <w:pPr>
        <w:pStyle w:val="ListParagraph"/>
        <w:widowControl/>
        <w:numPr>
          <w:ilvl w:val="2"/>
          <w:numId w:val="1"/>
        </w:numPr>
        <w:autoSpaceDE/>
        <w:autoSpaceDN/>
        <w:ind w:left="720"/>
        <w:rPr>
          <w:rFonts w:eastAsia="Times New Roman"/>
          <w:sz w:val="24"/>
          <w:szCs w:val="24"/>
          <w:lang w:bidi="ar-SA"/>
        </w:rPr>
      </w:pPr>
      <w:r>
        <w:rPr>
          <w:rFonts w:eastAsia="Times New Roman"/>
          <w:sz w:val="24"/>
          <w:szCs w:val="24"/>
          <w:lang w:bidi="ar-SA"/>
        </w:rPr>
        <w:t>To annual</w:t>
      </w:r>
      <w:r w:rsidR="00103BCD">
        <w:rPr>
          <w:rFonts w:eastAsia="Times New Roman"/>
          <w:sz w:val="24"/>
          <w:szCs w:val="24"/>
          <w:lang w:bidi="ar-SA"/>
        </w:rPr>
        <w:t xml:space="preserve">ly </w:t>
      </w:r>
      <w:r>
        <w:rPr>
          <w:rFonts w:eastAsia="Times New Roman"/>
          <w:sz w:val="24"/>
          <w:szCs w:val="24"/>
          <w:lang w:bidi="ar-SA"/>
        </w:rPr>
        <w:t>approve the Model Risk Management Policy and subsequently, recommend the same to the Board of Directors.</w:t>
      </w:r>
    </w:p>
    <w:p w14:paraId="30953462" w14:textId="77777777" w:rsidR="00F1082A" w:rsidRPr="00103BCD" w:rsidRDefault="00F1082A" w:rsidP="00103BCD">
      <w:pPr>
        <w:pStyle w:val="ListParagraph"/>
        <w:rPr>
          <w:rFonts w:eastAsia="Times New Roman"/>
          <w:sz w:val="20"/>
          <w:szCs w:val="20"/>
          <w:lang w:bidi="ar-SA"/>
        </w:rPr>
      </w:pPr>
    </w:p>
    <w:p w14:paraId="52FB85C1" w14:textId="03BCF9E4" w:rsidR="005F12C2" w:rsidRDefault="00A03698" w:rsidP="00C40BF8">
      <w:pPr>
        <w:pStyle w:val="ListParagraph"/>
        <w:numPr>
          <w:ilvl w:val="2"/>
          <w:numId w:val="1"/>
        </w:numPr>
        <w:tabs>
          <w:tab w:val="left" w:pos="828"/>
        </w:tabs>
        <w:spacing w:before="1" w:line="242" w:lineRule="auto"/>
        <w:ind w:left="720" w:right="720"/>
        <w:rPr>
          <w:sz w:val="24"/>
        </w:rPr>
      </w:pPr>
      <w:r>
        <w:rPr>
          <w:sz w:val="24"/>
        </w:rPr>
        <w:t xml:space="preserve">Receive quarterly reports </w:t>
      </w:r>
      <w:r w:rsidR="004D2E99">
        <w:rPr>
          <w:sz w:val="24"/>
        </w:rPr>
        <w:t xml:space="preserve">from </w:t>
      </w:r>
      <w:r>
        <w:rPr>
          <w:sz w:val="24"/>
        </w:rPr>
        <w:t xml:space="preserve">EBSS operations. </w:t>
      </w:r>
    </w:p>
    <w:p w14:paraId="69AA8995" w14:textId="77777777" w:rsidR="00F1082A" w:rsidRPr="00103BCD" w:rsidRDefault="00F1082A" w:rsidP="00103BCD">
      <w:pPr>
        <w:tabs>
          <w:tab w:val="left" w:pos="828"/>
        </w:tabs>
        <w:spacing w:before="1" w:line="242" w:lineRule="auto"/>
        <w:ind w:right="718"/>
        <w:rPr>
          <w:sz w:val="20"/>
          <w:szCs w:val="18"/>
        </w:rPr>
      </w:pPr>
    </w:p>
    <w:p w14:paraId="7DAEAE87" w14:textId="77EE14B0" w:rsidR="00A03698" w:rsidRDefault="0005435D" w:rsidP="00C40BF8">
      <w:pPr>
        <w:pStyle w:val="ListParagraph"/>
        <w:numPr>
          <w:ilvl w:val="2"/>
          <w:numId w:val="1"/>
        </w:numPr>
        <w:tabs>
          <w:tab w:val="left" w:pos="828"/>
        </w:tabs>
        <w:spacing w:before="1" w:line="242" w:lineRule="auto"/>
        <w:ind w:left="720" w:right="720"/>
        <w:rPr>
          <w:sz w:val="24"/>
        </w:rPr>
      </w:pPr>
      <w:r>
        <w:rPr>
          <w:sz w:val="24"/>
        </w:rPr>
        <w:t xml:space="preserve">Receive the annual report on </w:t>
      </w:r>
      <w:r w:rsidR="0091059B">
        <w:rPr>
          <w:sz w:val="24"/>
        </w:rPr>
        <w:t>ID Theft</w:t>
      </w:r>
      <w:r>
        <w:rPr>
          <w:sz w:val="24"/>
        </w:rPr>
        <w:t xml:space="preserve">. </w:t>
      </w:r>
      <w:r w:rsidR="00A16ECC">
        <w:rPr>
          <w:sz w:val="24"/>
        </w:rPr>
        <w:t>Approve the ID Theft Policy and subsequently recommend the same to the Board of Directors.</w:t>
      </w:r>
    </w:p>
    <w:p w14:paraId="344F75F6" w14:textId="77777777" w:rsidR="006C4E44" w:rsidRPr="00103BCD" w:rsidRDefault="006C4E44">
      <w:pPr>
        <w:pStyle w:val="BodyText"/>
        <w:spacing w:before="7"/>
        <w:ind w:left="0"/>
        <w:rPr>
          <w:sz w:val="20"/>
          <w:szCs w:val="16"/>
        </w:rPr>
      </w:pPr>
    </w:p>
    <w:p w14:paraId="676D3462" w14:textId="77777777" w:rsidR="006C4E44" w:rsidRDefault="00292B17" w:rsidP="00C40BF8">
      <w:pPr>
        <w:pStyle w:val="Heading1"/>
        <w:ind w:left="0"/>
      </w:pPr>
      <w:r>
        <w:rPr>
          <w:u w:val="single"/>
        </w:rPr>
        <w:t>Outside Advisors</w:t>
      </w:r>
    </w:p>
    <w:p w14:paraId="637F8185" w14:textId="77777777" w:rsidR="006C4E44" w:rsidRDefault="00292B17" w:rsidP="00C40BF8">
      <w:pPr>
        <w:pStyle w:val="BodyText"/>
        <w:ind w:left="0" w:right="135"/>
      </w:pPr>
      <w:r>
        <w:t xml:space="preserve">The Committee shall have the authority, in its sole discretion, to retain and obtain the advice and assistance of independent outside counsel and such other advisors as it deems necessary to </w:t>
      </w:r>
      <w:proofErr w:type="gramStart"/>
      <w:r>
        <w:t>fulfill its</w:t>
      </w:r>
      <w:proofErr w:type="gramEnd"/>
      <w:r>
        <w:t xml:space="preserve"> duties and responsibilities under this Charter. The Committee shall set the compensation, and oversee the work, of any outside counsel and other advisors.</w:t>
      </w:r>
    </w:p>
    <w:p w14:paraId="2D98B711" w14:textId="77777777" w:rsidR="006C4E44" w:rsidRPr="00103BCD" w:rsidRDefault="006C4E44" w:rsidP="00C40BF8">
      <w:pPr>
        <w:pStyle w:val="BodyText"/>
        <w:spacing w:before="11"/>
        <w:ind w:left="0"/>
        <w:rPr>
          <w:sz w:val="20"/>
          <w:szCs w:val="22"/>
        </w:rPr>
      </w:pPr>
    </w:p>
    <w:p w14:paraId="56B3C24B" w14:textId="77777777" w:rsidR="006C4E44" w:rsidRDefault="00292B17" w:rsidP="00C40BF8">
      <w:pPr>
        <w:pStyle w:val="BodyText"/>
        <w:ind w:left="0" w:right="305"/>
      </w:pPr>
      <w:r>
        <w:t xml:space="preserve">The Committee shall receive appropriate funding from the Company, as determined by the Committee in its capacity as a committee of the Board of Directors, for the payment of compensation to the Company’s independent auditors, any other accounting firm engaged to perform services for the Company, any outside counsel </w:t>
      </w:r>
      <w:proofErr w:type="gramStart"/>
      <w:r>
        <w:t>and</w:t>
      </w:r>
      <w:proofErr w:type="gramEnd"/>
      <w:r>
        <w:t xml:space="preserve"> any other advisors to the Committee.</w:t>
      </w:r>
    </w:p>
    <w:p w14:paraId="49319D26" w14:textId="77777777" w:rsidR="006C4E44" w:rsidRPr="00103BCD" w:rsidRDefault="006C4E44">
      <w:pPr>
        <w:pStyle w:val="BodyText"/>
        <w:ind w:left="0"/>
        <w:rPr>
          <w:sz w:val="20"/>
          <w:szCs w:val="22"/>
        </w:rPr>
      </w:pPr>
    </w:p>
    <w:p w14:paraId="0F6695D9" w14:textId="77777777" w:rsidR="006C4E44" w:rsidRDefault="00292B17" w:rsidP="00C40BF8">
      <w:pPr>
        <w:pStyle w:val="Heading1"/>
        <w:spacing w:line="240" w:lineRule="auto"/>
        <w:ind w:left="0"/>
      </w:pPr>
      <w:r>
        <w:rPr>
          <w:u w:val="single"/>
        </w:rPr>
        <w:t>Structure and Operations</w:t>
      </w:r>
    </w:p>
    <w:p w14:paraId="6D8F4D8B" w14:textId="77777777" w:rsidR="006C4E44" w:rsidRDefault="00292B17" w:rsidP="00C40BF8">
      <w:pPr>
        <w:pStyle w:val="BodyText"/>
        <w:spacing w:before="2"/>
        <w:ind w:left="0" w:right="288"/>
      </w:pPr>
      <w:r>
        <w:t xml:space="preserve">The Board of Directors shall designate a member of the Committee as the chairperson. The Committee shall meet at least quarterly at such times and places as it deems necessary to fulfill its responsibilities. The Committee shall report its activities and recommendations to the Board of Directors at any regular or special </w:t>
      </w:r>
      <w:proofErr w:type="gramStart"/>
      <w:r>
        <w:t>meeting</w:t>
      </w:r>
      <w:proofErr w:type="gramEnd"/>
      <w:r>
        <w:t xml:space="preserve"> of the Board of Directors. The Committee is governed by the same rules regarding meetings (including meetings in person or by telephone or other similar communications equipment), action without meetings, notice, waiver of notice, and quorum and voting requirements as are applicable to the Board of Directors.</w:t>
      </w:r>
    </w:p>
    <w:p w14:paraId="2D9EB1AD" w14:textId="77777777" w:rsidR="006C4E44" w:rsidRPr="00103BCD" w:rsidRDefault="006C4E44" w:rsidP="00C40BF8">
      <w:pPr>
        <w:pStyle w:val="BodyText"/>
        <w:spacing w:before="11"/>
        <w:ind w:left="0"/>
        <w:rPr>
          <w:sz w:val="20"/>
          <w:szCs w:val="22"/>
        </w:rPr>
      </w:pPr>
    </w:p>
    <w:p w14:paraId="3C130E24" w14:textId="77777777" w:rsidR="006C4E44" w:rsidRDefault="00292B17" w:rsidP="00C40BF8">
      <w:pPr>
        <w:pStyle w:val="BodyText"/>
        <w:ind w:left="0"/>
      </w:pPr>
      <w:r>
        <w:t>The Committee shall meet separately, and periodically, with management, members of the Company’s internal audit department and representatives of the Company’s independent auditors and shall invite such individuals to its meetings as it deems appropriate, to assist in carrying out its duties and responsibilities. However, the Committee shall meet regularly without such individuals present.</w:t>
      </w:r>
    </w:p>
    <w:p w14:paraId="2AC089CA" w14:textId="77777777" w:rsidR="006C4E44" w:rsidRPr="00103BCD" w:rsidRDefault="006C4E44" w:rsidP="00C40BF8">
      <w:pPr>
        <w:pStyle w:val="BodyText"/>
        <w:ind w:left="0"/>
        <w:rPr>
          <w:sz w:val="20"/>
          <w:szCs w:val="22"/>
        </w:rPr>
      </w:pPr>
    </w:p>
    <w:p w14:paraId="564D5627" w14:textId="77777777" w:rsidR="006C4E44" w:rsidRDefault="00292B17" w:rsidP="00C40BF8">
      <w:pPr>
        <w:pStyle w:val="BodyText"/>
        <w:ind w:left="0" w:right="204"/>
      </w:pPr>
      <w:r>
        <w:t>The Committee shall review this Charter at least annually and recommend any proposed changes to the Board of Directors for approval.</w:t>
      </w:r>
    </w:p>
    <w:sectPr w:rsidR="006C4E44" w:rsidSect="0084169C">
      <w:pgSz w:w="12240" w:h="15840"/>
      <w:pgMar w:top="1440" w:right="1080" w:bottom="1440" w:left="1080" w:header="0" w:footer="2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957A6" w14:textId="77777777" w:rsidR="0007486B" w:rsidRDefault="0007486B">
      <w:r>
        <w:separator/>
      </w:r>
    </w:p>
  </w:endnote>
  <w:endnote w:type="continuationSeparator" w:id="0">
    <w:p w14:paraId="01685A39" w14:textId="77777777" w:rsidR="0007486B" w:rsidRDefault="0007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422A" w14:textId="77777777" w:rsidR="0007486B" w:rsidRDefault="0007486B">
      <w:r>
        <w:separator/>
      </w:r>
    </w:p>
  </w:footnote>
  <w:footnote w:type="continuationSeparator" w:id="0">
    <w:p w14:paraId="67FE21A6" w14:textId="77777777" w:rsidR="0007486B" w:rsidRDefault="00074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D33E4"/>
    <w:multiLevelType w:val="multilevel"/>
    <w:tmpl w:val="51EA09F6"/>
    <w:lvl w:ilvl="0">
      <w:start w:val="363"/>
      <w:numFmt w:val="decimal"/>
      <w:lvlText w:val="%1"/>
      <w:lvlJc w:val="left"/>
      <w:pPr>
        <w:ind w:left="108" w:hanging="603"/>
      </w:pPr>
      <w:rPr>
        <w:rFonts w:hint="default"/>
        <w:lang w:val="en-US" w:eastAsia="en-US" w:bidi="en-US"/>
      </w:rPr>
    </w:lvl>
    <w:lvl w:ilvl="1">
      <w:start w:val="5"/>
      <w:numFmt w:val="decimal"/>
      <w:lvlText w:val="%1.%2"/>
      <w:lvlJc w:val="left"/>
      <w:pPr>
        <w:ind w:left="108" w:hanging="603"/>
      </w:pPr>
      <w:rPr>
        <w:rFonts w:ascii="Calibri" w:eastAsia="Calibri" w:hAnsi="Calibri" w:cs="Calibri" w:hint="default"/>
        <w:w w:val="100"/>
        <w:sz w:val="24"/>
        <w:szCs w:val="24"/>
        <w:lang w:val="en-US" w:eastAsia="en-US" w:bidi="en-US"/>
      </w:rPr>
    </w:lvl>
    <w:lvl w:ilvl="2">
      <w:start w:val="1"/>
      <w:numFmt w:val="decimal"/>
      <w:lvlText w:val="%3."/>
      <w:lvlJc w:val="left"/>
      <w:pPr>
        <w:ind w:left="828" w:hanging="360"/>
      </w:pPr>
      <w:rPr>
        <w:rFonts w:ascii="Calibri" w:eastAsia="Calibri" w:hAnsi="Calibri" w:cs="Calibri" w:hint="default"/>
        <w:strike w:val="0"/>
        <w:spacing w:val="-5"/>
        <w:w w:val="100"/>
        <w:sz w:val="24"/>
        <w:szCs w:val="24"/>
        <w:lang w:val="en-US" w:eastAsia="en-US" w:bidi="en-US"/>
      </w:rPr>
    </w:lvl>
    <w:lvl w:ilvl="3">
      <w:numFmt w:val="bullet"/>
      <w:lvlText w:val="•"/>
      <w:lvlJc w:val="left"/>
      <w:pPr>
        <w:ind w:left="2957" w:hanging="360"/>
      </w:pPr>
      <w:rPr>
        <w:rFonts w:hint="default"/>
        <w:lang w:val="en-US" w:eastAsia="en-US" w:bidi="en-US"/>
      </w:rPr>
    </w:lvl>
    <w:lvl w:ilvl="4">
      <w:numFmt w:val="bullet"/>
      <w:lvlText w:val="•"/>
      <w:lvlJc w:val="left"/>
      <w:pPr>
        <w:ind w:left="4026" w:hanging="360"/>
      </w:pPr>
      <w:rPr>
        <w:rFonts w:hint="default"/>
        <w:lang w:val="en-US" w:eastAsia="en-US" w:bidi="en-US"/>
      </w:rPr>
    </w:lvl>
    <w:lvl w:ilvl="5">
      <w:numFmt w:val="bullet"/>
      <w:lvlText w:val="•"/>
      <w:lvlJc w:val="left"/>
      <w:pPr>
        <w:ind w:left="5095" w:hanging="360"/>
      </w:pPr>
      <w:rPr>
        <w:rFonts w:hint="default"/>
        <w:lang w:val="en-US" w:eastAsia="en-US" w:bidi="en-US"/>
      </w:rPr>
    </w:lvl>
    <w:lvl w:ilvl="6">
      <w:numFmt w:val="bullet"/>
      <w:lvlText w:val="•"/>
      <w:lvlJc w:val="left"/>
      <w:pPr>
        <w:ind w:left="6164" w:hanging="360"/>
      </w:pPr>
      <w:rPr>
        <w:rFonts w:hint="default"/>
        <w:lang w:val="en-US" w:eastAsia="en-US" w:bidi="en-US"/>
      </w:rPr>
    </w:lvl>
    <w:lvl w:ilvl="7">
      <w:numFmt w:val="bullet"/>
      <w:lvlText w:val="•"/>
      <w:lvlJc w:val="left"/>
      <w:pPr>
        <w:ind w:left="7233" w:hanging="360"/>
      </w:pPr>
      <w:rPr>
        <w:rFonts w:hint="default"/>
        <w:lang w:val="en-US" w:eastAsia="en-US" w:bidi="en-US"/>
      </w:rPr>
    </w:lvl>
    <w:lvl w:ilvl="8">
      <w:numFmt w:val="bullet"/>
      <w:lvlText w:val="•"/>
      <w:lvlJc w:val="left"/>
      <w:pPr>
        <w:ind w:left="8302" w:hanging="360"/>
      </w:pPr>
      <w:rPr>
        <w:rFonts w:hint="default"/>
        <w:lang w:val="en-US" w:eastAsia="en-US" w:bidi="en-US"/>
      </w:rPr>
    </w:lvl>
  </w:abstractNum>
  <w:num w:numId="1" w16cid:durableId="180046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44"/>
    <w:rsid w:val="0005435D"/>
    <w:rsid w:val="0007486B"/>
    <w:rsid w:val="000B2FCC"/>
    <w:rsid w:val="000C38BD"/>
    <w:rsid w:val="00100786"/>
    <w:rsid w:val="00102AD9"/>
    <w:rsid w:val="00103BCD"/>
    <w:rsid w:val="00110006"/>
    <w:rsid w:val="001A5AD4"/>
    <w:rsid w:val="00251884"/>
    <w:rsid w:val="00292B17"/>
    <w:rsid w:val="00300A5D"/>
    <w:rsid w:val="003819BC"/>
    <w:rsid w:val="0040329A"/>
    <w:rsid w:val="00422FCB"/>
    <w:rsid w:val="004A241B"/>
    <w:rsid w:val="004C613B"/>
    <w:rsid w:val="004D2E99"/>
    <w:rsid w:val="004D7B1F"/>
    <w:rsid w:val="00570ADC"/>
    <w:rsid w:val="005758ED"/>
    <w:rsid w:val="0058625F"/>
    <w:rsid w:val="005D29F8"/>
    <w:rsid w:val="005F12C2"/>
    <w:rsid w:val="00617F46"/>
    <w:rsid w:val="00680683"/>
    <w:rsid w:val="006C4E44"/>
    <w:rsid w:val="006D2542"/>
    <w:rsid w:val="006F664C"/>
    <w:rsid w:val="007030D7"/>
    <w:rsid w:val="007041CB"/>
    <w:rsid w:val="007A4258"/>
    <w:rsid w:val="007B22D0"/>
    <w:rsid w:val="007C351A"/>
    <w:rsid w:val="007E7E3C"/>
    <w:rsid w:val="007F2075"/>
    <w:rsid w:val="0084169C"/>
    <w:rsid w:val="00881252"/>
    <w:rsid w:val="00887D2E"/>
    <w:rsid w:val="008C14B0"/>
    <w:rsid w:val="008D0525"/>
    <w:rsid w:val="0091059B"/>
    <w:rsid w:val="00931507"/>
    <w:rsid w:val="00936947"/>
    <w:rsid w:val="009A2B65"/>
    <w:rsid w:val="009A659C"/>
    <w:rsid w:val="009C1FCE"/>
    <w:rsid w:val="009F377F"/>
    <w:rsid w:val="00A03698"/>
    <w:rsid w:val="00A04DD2"/>
    <w:rsid w:val="00A16ECC"/>
    <w:rsid w:val="00A4519C"/>
    <w:rsid w:val="00A531CC"/>
    <w:rsid w:val="00AA3AFA"/>
    <w:rsid w:val="00AB1223"/>
    <w:rsid w:val="00AC529D"/>
    <w:rsid w:val="00AD40D3"/>
    <w:rsid w:val="00B740C4"/>
    <w:rsid w:val="00B7493A"/>
    <w:rsid w:val="00B77DCB"/>
    <w:rsid w:val="00B91AFF"/>
    <w:rsid w:val="00BE07DD"/>
    <w:rsid w:val="00C31BBB"/>
    <w:rsid w:val="00C33444"/>
    <w:rsid w:val="00C33699"/>
    <w:rsid w:val="00C34B96"/>
    <w:rsid w:val="00C40BF8"/>
    <w:rsid w:val="00C47BFB"/>
    <w:rsid w:val="00C76FDB"/>
    <w:rsid w:val="00C87B00"/>
    <w:rsid w:val="00D20364"/>
    <w:rsid w:val="00D41D98"/>
    <w:rsid w:val="00DB3292"/>
    <w:rsid w:val="00E073C7"/>
    <w:rsid w:val="00E41A72"/>
    <w:rsid w:val="00E97BF7"/>
    <w:rsid w:val="00EC441E"/>
    <w:rsid w:val="00EE3F4D"/>
    <w:rsid w:val="00EE4EC0"/>
    <w:rsid w:val="00EF6BA6"/>
    <w:rsid w:val="00F1082A"/>
    <w:rsid w:val="00F17B23"/>
    <w:rsid w:val="00FB1CD1"/>
    <w:rsid w:val="00FC0B63"/>
    <w:rsid w:val="00FD502F"/>
    <w:rsid w:val="00FE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7A597"/>
  <w15:docId w15:val="{0221B401-4833-4DAB-82C3-2717CDF9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line="341" w:lineRule="exact"/>
      <w:ind w:left="10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8"/>
    </w:pPr>
    <w:rPr>
      <w:sz w:val="24"/>
      <w:szCs w:val="24"/>
    </w:rPr>
  </w:style>
  <w:style w:type="paragraph" w:styleId="ListParagraph">
    <w:name w:val="List Paragraph"/>
    <w:basedOn w:val="Normal"/>
    <w:uiPriority w:val="1"/>
    <w:qFormat/>
    <w:pPr>
      <w:ind w:left="82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2B17"/>
    <w:pPr>
      <w:tabs>
        <w:tab w:val="center" w:pos="4680"/>
        <w:tab w:val="right" w:pos="9360"/>
      </w:tabs>
    </w:pPr>
  </w:style>
  <w:style w:type="character" w:customStyle="1" w:styleId="HeaderChar">
    <w:name w:val="Header Char"/>
    <w:basedOn w:val="DefaultParagraphFont"/>
    <w:link w:val="Header"/>
    <w:uiPriority w:val="99"/>
    <w:rsid w:val="00292B17"/>
    <w:rPr>
      <w:rFonts w:ascii="Calibri" w:eastAsia="Calibri" w:hAnsi="Calibri" w:cs="Calibri"/>
      <w:lang w:bidi="en-US"/>
    </w:rPr>
  </w:style>
  <w:style w:type="paragraph" w:styleId="Footer">
    <w:name w:val="footer"/>
    <w:basedOn w:val="Normal"/>
    <w:link w:val="FooterChar"/>
    <w:uiPriority w:val="99"/>
    <w:unhideWhenUsed/>
    <w:rsid w:val="00292B17"/>
    <w:pPr>
      <w:tabs>
        <w:tab w:val="center" w:pos="4680"/>
        <w:tab w:val="right" w:pos="9360"/>
      </w:tabs>
    </w:pPr>
  </w:style>
  <w:style w:type="character" w:customStyle="1" w:styleId="FooterChar">
    <w:name w:val="Footer Char"/>
    <w:basedOn w:val="DefaultParagraphFont"/>
    <w:link w:val="Footer"/>
    <w:uiPriority w:val="99"/>
    <w:rsid w:val="00292B17"/>
    <w:rPr>
      <w:rFonts w:ascii="Calibri" w:eastAsia="Calibri" w:hAnsi="Calibri" w:cs="Calibri"/>
      <w:lang w:bidi="en-US"/>
    </w:rPr>
  </w:style>
  <w:style w:type="paragraph" w:styleId="Revision">
    <w:name w:val="Revision"/>
    <w:hidden/>
    <w:uiPriority w:val="99"/>
    <w:semiHidden/>
    <w:rsid w:val="00C34B96"/>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9588">
      <w:bodyDiv w:val="1"/>
      <w:marLeft w:val="0"/>
      <w:marRight w:val="0"/>
      <w:marTop w:val="0"/>
      <w:marBottom w:val="0"/>
      <w:divBdr>
        <w:top w:val="none" w:sz="0" w:space="0" w:color="auto"/>
        <w:left w:val="none" w:sz="0" w:space="0" w:color="auto"/>
        <w:bottom w:val="none" w:sz="0" w:space="0" w:color="auto"/>
        <w:right w:val="none" w:sz="0" w:space="0" w:color="auto"/>
      </w:divBdr>
    </w:div>
    <w:div w:id="1215463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2380</Words>
  <Characters>13618</Characters>
  <Application>Microsoft Office Word</Application>
  <DocSecurity>0</DocSecurity>
  <Lines>255</Lines>
  <Paragraphs>57</Paragraphs>
  <ScaleCrop>false</ScaleCrop>
  <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COMMITTEE OF THE BOARD OF DIRECTORS</dc:title>
  <dc:creator>Terri Strait</dc:creator>
  <cp:lastModifiedBy>Karen McCauley</cp:lastModifiedBy>
  <cp:revision>12</cp:revision>
  <dcterms:created xsi:type="dcterms:W3CDTF">2024-10-23T19:32:00Z</dcterms:created>
  <dcterms:modified xsi:type="dcterms:W3CDTF">2025-10-28T17:57:00Z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2020-04-29T00:00:00Z</vt:filetime>
  </property>
  <property fmtid="{D5CDD505-2E9C-101B-9397-08002B2CF9AE}" pid="3" name="Creator">
    <vt:lpwstr>Microsoft® Word for Microsoft 365</vt:lpwstr>
  </property>
  <property fmtid="{D5CDD505-2E9C-101B-9397-08002B2CF9AE}" pid="4" name="LastSaved">
    <vt:filetime>2021-04-23T00:00:00Z</vt:filetime>
  </property>
</Properties>
</file>