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4BE8E3" w14:textId="77777777" w:rsidR="00466DC1" w:rsidRDefault="00000000">
      <w:pPr>
        <w:spacing w:after="0" w:line="240" w:lineRule="auto"/>
        <w:rPr>
          <w:rFonts w:ascii="Palatino Linotype" w:eastAsia="Palatino Linotype" w:hAnsi="Palatino Linotype" w:cs="Palatino Linotype"/>
          <w:b/>
          <w:bCs/>
          <w:smallCaps/>
          <w:sz w:val="24"/>
          <w:szCs w:val="24"/>
        </w:rPr>
      </w:pPr>
      <w:r>
        <w:rPr>
          <w:rFonts w:ascii="Palatino Linotype" w:eastAsia="Palatino Linotype" w:hAnsi="Palatino Linotype" w:cs="Palatino Linotype"/>
          <w:sz w:val="24"/>
          <w:szCs w:val="24"/>
        </w:rPr>
        <w:t>For Immediate Release</w:t>
      </w:r>
    </w:p>
    <w:p w14:paraId="07324ADF" w14:textId="77777777" w:rsidR="00466DC1" w:rsidRDefault="00466DC1">
      <w:pPr>
        <w:spacing w:after="0" w:line="240" w:lineRule="auto"/>
        <w:rPr>
          <w:rFonts w:ascii="Palatino Linotype" w:eastAsia="Palatino Linotype" w:hAnsi="Palatino Linotype" w:cs="Palatino Linotype"/>
          <w:b/>
          <w:bCs/>
          <w:smallCaps/>
          <w:sz w:val="24"/>
          <w:szCs w:val="24"/>
        </w:rPr>
      </w:pPr>
    </w:p>
    <w:p w14:paraId="2F6F10F9" w14:textId="77777777" w:rsidR="00466DC1" w:rsidRDefault="00000000">
      <w:pPr>
        <w:spacing w:after="0" w:line="240" w:lineRule="auto"/>
        <w:jc w:val="center"/>
        <w:rPr>
          <w:rFonts w:ascii="Palatino Linotype" w:eastAsia="Palatino Linotype" w:hAnsi="Palatino Linotype" w:cs="Palatino Linotype"/>
          <w:b/>
          <w:bCs/>
          <w:smallCaps/>
          <w:sz w:val="24"/>
          <w:szCs w:val="24"/>
        </w:rPr>
      </w:pPr>
      <w:r>
        <w:rPr>
          <w:rFonts w:ascii="Palatino Linotype" w:eastAsia="Palatino Linotype" w:hAnsi="Palatino Linotype" w:cs="Palatino Linotype"/>
          <w:b/>
          <w:bCs/>
          <w:smallCaps/>
          <w:noProof/>
          <w:sz w:val="24"/>
          <w:szCs w:val="24"/>
        </w:rPr>
        <w:drawing>
          <wp:inline distT="114300" distB="114300" distL="114300" distR="114300" wp14:anchorId="3D75F41C" wp14:editId="7122993B">
            <wp:extent cx="5595938" cy="7380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595938" cy="738028"/>
                    </a:xfrm>
                    <a:prstGeom prst="rect">
                      <a:avLst/>
                    </a:prstGeom>
                    <a:ln/>
                  </pic:spPr>
                </pic:pic>
              </a:graphicData>
            </a:graphic>
          </wp:inline>
        </w:drawing>
      </w:r>
    </w:p>
    <w:p w14:paraId="52EAF0A1" w14:textId="77777777" w:rsidR="00466DC1" w:rsidRDefault="00466DC1">
      <w:pPr>
        <w:spacing w:after="0" w:line="240" w:lineRule="auto"/>
        <w:rPr>
          <w:rFonts w:ascii="Palatino Linotype" w:eastAsia="Palatino Linotype" w:hAnsi="Palatino Linotype" w:cs="Palatino Linotype"/>
          <w:i/>
          <w:iCs/>
          <w:sz w:val="24"/>
          <w:szCs w:val="24"/>
        </w:rPr>
      </w:pPr>
    </w:p>
    <w:p w14:paraId="1A1E37F8" w14:textId="77777777" w:rsidR="00466DC1" w:rsidRDefault="00466DC1">
      <w:pPr>
        <w:spacing w:after="0" w:line="240" w:lineRule="auto"/>
        <w:jc w:val="center"/>
        <w:rPr>
          <w:rFonts w:ascii="Palatino Linotype" w:eastAsia="Palatino Linotype" w:hAnsi="Palatino Linotype" w:cs="Palatino Linotype"/>
          <w:b/>
          <w:bCs/>
          <w:smallCaps/>
          <w:sz w:val="24"/>
          <w:szCs w:val="24"/>
        </w:rPr>
      </w:pPr>
    </w:p>
    <w:p w14:paraId="1455D2A7" w14:textId="77777777" w:rsidR="00466DC1" w:rsidRDefault="00466DC1">
      <w:pPr>
        <w:spacing w:after="0" w:line="240" w:lineRule="auto"/>
        <w:rPr>
          <w:rFonts w:ascii="Palatino Linotype" w:eastAsia="Palatino Linotype" w:hAnsi="Palatino Linotype" w:cs="Palatino Linotype"/>
          <w:b/>
          <w:bCs/>
          <w:smallCaps/>
          <w:sz w:val="24"/>
          <w:szCs w:val="24"/>
        </w:rPr>
      </w:pPr>
    </w:p>
    <w:p w14:paraId="3B7F14EE" w14:textId="77777777" w:rsidR="00466DC1" w:rsidRDefault="00000000">
      <w:pPr>
        <w:spacing w:after="0" w:line="240" w:lineRule="auto"/>
        <w:jc w:val="center"/>
      </w:pPr>
      <w:r>
        <w:rPr>
          <w:rFonts w:ascii="Palatino Linotype" w:eastAsia="Palatino Linotype" w:hAnsi="Palatino Linotype" w:cs="Palatino Linotype"/>
          <w:b/>
          <w:bCs/>
          <w:smallCaps/>
          <w:sz w:val="24"/>
          <w:szCs w:val="24"/>
        </w:rPr>
        <w:t>XP UNLOCKED! TURTLE BEACH REVEALS THE NEW VULCAN II XP FULL-SIZE MECHANICAL RGB KEYBOARD</w:t>
      </w:r>
    </w:p>
    <w:p w14:paraId="1552B426" w14:textId="77777777" w:rsidR="00466DC1" w:rsidRDefault="00466DC1">
      <w:pPr>
        <w:spacing w:after="0" w:line="240" w:lineRule="auto"/>
        <w:jc w:val="center"/>
      </w:pPr>
    </w:p>
    <w:p w14:paraId="20D5C66F" w14:textId="77777777" w:rsidR="00466DC1" w:rsidRDefault="00000000">
      <w:pPr>
        <w:spacing w:after="0" w:line="240" w:lineRule="auto"/>
        <w:jc w:val="center"/>
      </w:pPr>
      <w:r>
        <w:rPr>
          <w:rFonts w:ascii="Palatino Linotype" w:eastAsia="Palatino Linotype" w:hAnsi="Palatino Linotype" w:cs="Palatino Linotype"/>
          <w:b/>
          <w:bCs/>
          <w:smallCaps/>
          <w:sz w:val="24"/>
          <w:szCs w:val="24"/>
        </w:rPr>
        <w:t>A NEW GAMING KEYBOARD THAT DELIVERS FEEL, PRECISION, AND CUSTOMIZATION FOR PC GAMERS</w:t>
      </w:r>
    </w:p>
    <w:p w14:paraId="442A65BE" w14:textId="77777777" w:rsidR="00466DC1" w:rsidRDefault="00466DC1">
      <w:pPr>
        <w:spacing w:after="0" w:line="240" w:lineRule="auto"/>
        <w:jc w:val="center"/>
        <w:rPr>
          <w:rFonts w:ascii="Palatino Linotype" w:eastAsia="Palatino Linotype" w:hAnsi="Palatino Linotype" w:cs="Palatino Linotype"/>
          <w:b/>
          <w:bCs/>
          <w:smallCaps/>
          <w:sz w:val="24"/>
          <w:szCs w:val="24"/>
        </w:rPr>
      </w:pPr>
    </w:p>
    <w:p w14:paraId="298E0690" w14:textId="77777777" w:rsidR="00466DC1" w:rsidRDefault="00000000">
      <w:pPr>
        <w:spacing w:after="0" w:line="240" w:lineRule="auto"/>
        <w:jc w:val="center"/>
      </w:pPr>
      <w:r>
        <w:rPr>
          <w:rFonts w:ascii="Palatino Linotype" w:eastAsia="Palatino Linotype" w:hAnsi="Palatino Linotype" w:cs="Palatino Linotype"/>
          <w:i/>
          <w:iCs/>
          <w:sz w:val="24"/>
          <w:szCs w:val="24"/>
        </w:rPr>
        <w:t xml:space="preserve">Built on the Award-Winning Low-Profile Vulcan Design, the Turtle Beach Vulcan II XP Combines Hot-Swappable TITAN HS Mechanical Switches and Premium Construction in a Full-Size Gaming Keyboard Designed for Players Who Expect More </w:t>
      </w:r>
      <w:proofErr w:type="gramStart"/>
      <w:r>
        <w:rPr>
          <w:rFonts w:ascii="Palatino Linotype" w:eastAsia="Palatino Linotype" w:hAnsi="Palatino Linotype" w:cs="Palatino Linotype"/>
          <w:i/>
          <w:iCs/>
          <w:sz w:val="24"/>
          <w:szCs w:val="24"/>
        </w:rPr>
        <w:t>From</w:t>
      </w:r>
      <w:proofErr w:type="gramEnd"/>
      <w:r>
        <w:rPr>
          <w:rFonts w:ascii="Palatino Linotype" w:eastAsia="Palatino Linotype" w:hAnsi="Palatino Linotype" w:cs="Palatino Linotype"/>
          <w:i/>
          <w:iCs/>
          <w:sz w:val="24"/>
          <w:szCs w:val="24"/>
        </w:rPr>
        <w:t xml:space="preserve"> Every Press</w:t>
      </w:r>
    </w:p>
    <w:p w14:paraId="489E824D" w14:textId="77777777" w:rsidR="00466DC1" w:rsidRDefault="00466DC1">
      <w:pPr>
        <w:spacing w:after="0" w:line="240" w:lineRule="auto"/>
        <w:rPr>
          <w:rFonts w:ascii="Palatino Linotype" w:eastAsia="Palatino Linotype" w:hAnsi="Palatino Linotype" w:cs="Palatino Linotype"/>
          <w:i/>
          <w:iCs/>
          <w:sz w:val="24"/>
          <w:szCs w:val="24"/>
        </w:rPr>
      </w:pPr>
    </w:p>
    <w:p w14:paraId="03F9A276"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sz w:val="24"/>
          <w:szCs w:val="24"/>
        </w:rPr>
        <w:t xml:space="preserve">SAN DIEGO – AUG 26, 2026 – Leading gaming accessories maker </w:t>
      </w:r>
      <w:hyperlink r:id="rId7">
        <w:r>
          <w:rPr>
            <w:rFonts w:ascii="Palatino Linotype" w:eastAsia="Palatino Linotype" w:hAnsi="Palatino Linotype" w:cs="Palatino Linotype"/>
            <w:color w:val="0000FF"/>
            <w:sz w:val="24"/>
            <w:szCs w:val="24"/>
            <w:u w:val="single"/>
          </w:rPr>
          <w:t>Turtle Beach</w:t>
        </w:r>
      </w:hyperlink>
      <w:r>
        <w:rPr>
          <w:rFonts w:ascii="Palatino Linotype" w:eastAsia="Palatino Linotype" w:hAnsi="Palatino Linotype" w:cs="Palatino Linotype"/>
          <w:color w:val="0000FF"/>
          <w:sz w:val="24"/>
          <w:szCs w:val="24"/>
        </w:rPr>
        <w:t xml:space="preserve"> </w:t>
      </w:r>
      <w:hyperlink r:id="rId8">
        <w:r>
          <w:rPr>
            <w:rFonts w:ascii="Palatino Linotype" w:eastAsia="Palatino Linotype" w:hAnsi="Palatino Linotype" w:cs="Palatino Linotype"/>
            <w:color w:val="0000FF"/>
            <w:sz w:val="24"/>
            <w:szCs w:val="24"/>
            <w:u w:val="single"/>
          </w:rPr>
          <w:t>Corporation</w:t>
        </w:r>
      </w:hyperlink>
      <w:r>
        <w:rPr>
          <w:rFonts w:ascii="Palatino Linotype" w:eastAsia="Palatino Linotype" w:hAnsi="Palatino Linotype" w:cs="Palatino Linotype"/>
          <w:color w:val="0462C1"/>
          <w:sz w:val="24"/>
          <w:szCs w:val="24"/>
        </w:rPr>
        <w:t xml:space="preserve"> </w:t>
      </w:r>
      <w:r>
        <w:rPr>
          <w:rFonts w:ascii="Palatino Linotype" w:eastAsia="Palatino Linotype" w:hAnsi="Palatino Linotype" w:cs="Palatino Linotype"/>
          <w:sz w:val="24"/>
          <w:szCs w:val="24"/>
        </w:rPr>
        <w:t xml:space="preserve">(Nasdaq: TBCH), today revealed the all-new </w:t>
      </w:r>
      <w:hyperlink r:id="rId9">
        <w:r>
          <w:rPr>
            <w:rFonts w:ascii="Palatino Linotype" w:eastAsia="Palatino Linotype" w:hAnsi="Palatino Linotype" w:cs="Palatino Linotype"/>
            <w:b/>
            <w:bCs/>
            <w:i/>
            <w:iCs/>
            <w:color w:val="0000FF"/>
            <w:sz w:val="24"/>
            <w:szCs w:val="24"/>
            <w:u w:val="single"/>
          </w:rPr>
          <w:t>Vulcan™ II XP Full-Size Mechanical RGB Gaming Keyboard</w:t>
        </w:r>
      </w:hyperlink>
      <w:r>
        <w:rPr>
          <w:rFonts w:ascii="Palatino Linotype" w:eastAsia="Palatino Linotype" w:hAnsi="Palatino Linotype" w:cs="Palatino Linotype"/>
          <w:color w:val="000000"/>
          <w:sz w:val="24"/>
          <w:szCs w:val="24"/>
        </w:rPr>
        <w:t>. Built on the award-winning Vulcan design, the</w:t>
      </w:r>
      <w:r>
        <w:rPr>
          <w:rFonts w:ascii="Palatino Linotype" w:eastAsia="Palatino Linotype" w:hAnsi="Palatino Linotype" w:cs="Palatino Linotype"/>
          <w:b/>
          <w:bCs/>
          <w:i/>
          <w:iCs/>
          <w:color w:val="000000"/>
          <w:sz w:val="24"/>
          <w:szCs w:val="24"/>
        </w:rPr>
        <w:t xml:space="preserve"> Turtle Beach® Vulcan II XP</w:t>
      </w:r>
      <w:r>
        <w:rPr>
          <w:rFonts w:ascii="Palatino Linotype" w:eastAsia="Palatino Linotype" w:hAnsi="Palatino Linotype" w:cs="Palatino Linotype"/>
          <w:color w:val="000000"/>
          <w:sz w:val="24"/>
          <w:szCs w:val="24"/>
        </w:rPr>
        <w:t xml:space="preserve"> combines hot-swappable TITAN HS mechanical switches for easy maintenance and replacement, refined typing acoustics, and premium construction in a full-size gaming keyboard engineered to deliver exceptional performance, customization and comfort. </w:t>
      </w:r>
    </w:p>
    <w:p w14:paraId="1ADA3E38"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4191AA68"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At the heart of the </w:t>
      </w:r>
      <w:r>
        <w:rPr>
          <w:rFonts w:ascii="Palatino Linotype" w:eastAsia="Palatino Linotype" w:hAnsi="Palatino Linotype" w:cs="Palatino Linotype"/>
          <w:b/>
          <w:bCs/>
          <w:i/>
          <w:iCs/>
          <w:color w:val="000000"/>
          <w:sz w:val="24"/>
          <w:szCs w:val="24"/>
        </w:rPr>
        <w:t>Vulcan II XP</w:t>
      </w:r>
      <w:r>
        <w:rPr>
          <w:rFonts w:ascii="Palatino Linotype" w:eastAsia="Palatino Linotype" w:hAnsi="Palatino Linotype" w:cs="Palatino Linotype"/>
          <w:color w:val="000000"/>
          <w:sz w:val="24"/>
          <w:szCs w:val="24"/>
        </w:rPr>
        <w:t xml:space="preserve"> are Turtle Beach TITAN HS mechanical switches, engineered to deliver smooth, consistent keystrokes with exceptional stability and long-term durability. Compatible with both 3-pin and 5-pin hot-swappable mechanical switches, it's easy to experiment with new switch types, replace worn switches, or fine-tune your typing feel without soldering. </w:t>
      </w:r>
    </w:p>
    <w:p w14:paraId="0C433D3D"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0A90FE64"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The </w:t>
      </w:r>
      <w:r>
        <w:rPr>
          <w:rFonts w:ascii="Palatino Linotype" w:eastAsia="Palatino Linotype" w:hAnsi="Palatino Linotype" w:cs="Palatino Linotype"/>
          <w:b/>
          <w:bCs/>
          <w:i/>
          <w:iCs/>
          <w:color w:val="000000"/>
          <w:sz w:val="24"/>
          <w:szCs w:val="24"/>
        </w:rPr>
        <w:t>Vulcan II XP</w:t>
      </w:r>
      <w:r>
        <w:rPr>
          <w:rFonts w:ascii="Palatino Linotype" w:eastAsia="Palatino Linotype" w:hAnsi="Palatino Linotype" w:cs="Palatino Linotype"/>
          <w:color w:val="000000"/>
          <w:sz w:val="24"/>
          <w:szCs w:val="24"/>
        </w:rPr>
        <w:t xml:space="preserve"> is available with a choice of Linear or Tactile switches; each is tested for up to 50 million keystrokes. The TITAN HS Red Linear switches deliver smooth, low-friction keystrokes with minimal resistance for fast-paced competitive gaming, while the TITAN HS Brown Tactile switches provide a light tactile bump for confident, responsive feedback without sacrificing speed. Every keystroke is refined by factory pre-lubed switches and stabilizers working alongside integrated sound-dampening foam to reduce unwanted noise and vibration. The result is a smoother, quieter, and more satisfying typing experience that feels just as good during everyday use as it does in the middle of a match.</w:t>
      </w:r>
    </w:p>
    <w:p w14:paraId="777C02C3"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6B82FB22"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“With each generation of Vulcan, we’ve focused on giving players more features, performance, and customization. The new Vulcan II XP takes that even further while delivering the value the Vulcan line is known for,” said Cris Keirn, Chief Executive Officer, Turtle Beach Corporation. “Whether you’re climbing the ranked ladder, building your dream setup, or tackling everyday tasks, the Vulcan II XP delivers the features and personalization to help you get the most out of every experience.” </w:t>
      </w:r>
    </w:p>
    <w:p w14:paraId="1AE930C7"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7F010BA5"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When the competition heats up, the </w:t>
      </w:r>
      <w:r>
        <w:rPr>
          <w:rFonts w:ascii="Palatino Linotype" w:eastAsia="Palatino Linotype" w:hAnsi="Palatino Linotype" w:cs="Palatino Linotype"/>
          <w:b/>
          <w:bCs/>
          <w:i/>
          <w:iCs/>
          <w:color w:val="000000"/>
          <w:sz w:val="24"/>
          <w:szCs w:val="24"/>
        </w:rPr>
        <w:t>Vulcan II XP</w:t>
      </w:r>
      <w:r>
        <w:rPr>
          <w:rFonts w:ascii="Palatino Linotype" w:eastAsia="Palatino Linotype" w:hAnsi="Palatino Linotype" w:cs="Palatino Linotype"/>
          <w:color w:val="000000"/>
          <w:sz w:val="24"/>
          <w:szCs w:val="24"/>
        </w:rPr>
        <w:t xml:space="preserve"> keeps pace. Full N-Key Rollover (NKRO) and anti-ghosting ensure every keypress registers accurately, while </w:t>
      </w:r>
      <w:proofErr w:type="spellStart"/>
      <w:r>
        <w:rPr>
          <w:rFonts w:ascii="Palatino Linotype" w:eastAsia="Palatino Linotype" w:hAnsi="Palatino Linotype" w:cs="Palatino Linotype"/>
          <w:color w:val="000000"/>
          <w:sz w:val="24"/>
          <w:szCs w:val="24"/>
        </w:rPr>
        <w:t>ReacTap</w:t>
      </w:r>
      <w:proofErr w:type="spellEnd"/>
      <w:r>
        <w:rPr>
          <w:rFonts w:ascii="Palatino Linotype" w:eastAsia="Palatino Linotype" w:hAnsi="Palatino Linotype" w:cs="Palatino Linotype"/>
          <w:color w:val="000000"/>
          <w:sz w:val="24"/>
          <w:szCs w:val="24"/>
        </w:rPr>
        <w:t>™ SOCD technology prioritizes the latest directional input for faster counter-strafing and more responsive movement. EASY-</w:t>
      </w:r>
      <w:proofErr w:type="gramStart"/>
      <w:r>
        <w:rPr>
          <w:rFonts w:ascii="Palatino Linotype" w:eastAsia="Palatino Linotype" w:hAnsi="Palatino Linotype" w:cs="Palatino Linotype"/>
          <w:color w:val="000000"/>
          <w:sz w:val="24"/>
          <w:szCs w:val="24"/>
        </w:rPr>
        <w:t>SHIFT[+]™</w:t>
      </w:r>
      <w:proofErr w:type="gramEnd"/>
      <w:r>
        <w:rPr>
          <w:rFonts w:ascii="Palatino Linotype" w:eastAsia="Palatino Linotype" w:hAnsi="Palatino Linotype" w:cs="Palatino Linotype"/>
          <w:color w:val="000000"/>
          <w:sz w:val="24"/>
          <w:szCs w:val="24"/>
        </w:rPr>
        <w:t xml:space="preserve"> expands every key with customizable secondary functions, macros, and shortcuts, while Game Mode enables </w:t>
      </w:r>
      <w:proofErr w:type="spellStart"/>
      <w:r>
        <w:rPr>
          <w:rFonts w:ascii="Palatino Linotype" w:eastAsia="Palatino Linotype" w:hAnsi="Palatino Linotype" w:cs="Palatino Linotype"/>
          <w:color w:val="000000"/>
          <w:sz w:val="24"/>
          <w:szCs w:val="24"/>
        </w:rPr>
        <w:t>ReacTap</w:t>
      </w:r>
      <w:proofErr w:type="spellEnd"/>
      <w:r>
        <w:rPr>
          <w:rFonts w:ascii="Palatino Linotype" w:eastAsia="Palatino Linotype" w:hAnsi="Palatino Linotype" w:cs="Palatino Linotype"/>
          <w:color w:val="000000"/>
          <w:sz w:val="24"/>
          <w:szCs w:val="24"/>
        </w:rPr>
        <w:t xml:space="preserve"> and locks the Windows key to prevent accidental interruptions during gameplay. A dedicated multi-function media wheel delivers quick volume control, push-to-mute functionality, and Windows Wheel support for intuitive navigation and creative workflow control in compatible Windows applications.</w:t>
      </w:r>
    </w:p>
    <w:p w14:paraId="6628B279"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4253BDA0" w14:textId="77777777" w:rsidR="00466DC1" w:rsidRDefault="00000000">
      <w:pPr>
        <w:spacing w:after="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Completing the experience is the iconic Vulcan low-profile body design, featuring a durable brushed aluminum top plate, vibrant per-key AIMO™ RGB lighting with Windows Dynamic Lighting support, a detachable left-side USB-C cable for cleaner cable management and portability, a detachable soft wrist rest, and dedicated media controls. </w:t>
      </w:r>
    </w:p>
    <w:p w14:paraId="219E6BA8"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Turtle Beach’s Swarm™ II desktop software enables players to personalize RGB lighting, remap keys, create macros, and manage up to five onboard profiles. Broad compatibility with most third-party cross-shaped keycap sets provides even more opportunities to customize the keyboard’s look and feel, while synchronized lighting across compatible AIMO devices completes a premium keyboard engineered for performance and designed for personalization.</w:t>
      </w:r>
    </w:p>
    <w:p w14:paraId="5594DF47"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The </w:t>
      </w:r>
      <w:hyperlink r:id="rId10">
        <w:r>
          <w:rPr>
            <w:rFonts w:ascii="Palatino Linotype" w:eastAsia="Palatino Linotype" w:hAnsi="Palatino Linotype" w:cs="Palatino Linotype"/>
            <w:i/>
            <w:iCs/>
            <w:color w:val="0000FF"/>
            <w:sz w:val="24"/>
            <w:szCs w:val="24"/>
            <w:u w:val="single"/>
          </w:rPr>
          <w:t>Turtle Beach Vulcan II XP Gaming Keyboard</w:t>
        </w:r>
      </w:hyperlink>
      <w:r>
        <w:rPr>
          <w:rFonts w:ascii="Palatino Linotype" w:eastAsia="Palatino Linotype" w:hAnsi="Palatino Linotype" w:cs="Palatino Linotype"/>
          <w:color w:val="000000"/>
          <w:sz w:val="24"/>
          <w:szCs w:val="24"/>
        </w:rPr>
        <w:t xml:space="preserve"> is available for pre-order beginning August 26, 2026, at </w:t>
      </w:r>
      <w:r>
        <w:rPr>
          <w:rFonts w:ascii="Palatino Linotype" w:eastAsia="Palatino Linotype" w:hAnsi="Palatino Linotype" w:cs="Palatino Linotype"/>
          <w:b/>
          <w:bCs/>
          <w:color w:val="000000"/>
          <w:sz w:val="24"/>
          <w:szCs w:val="24"/>
        </w:rPr>
        <w:t>www.turtlebeach.com</w:t>
      </w:r>
      <w:r>
        <w:rPr>
          <w:rFonts w:ascii="Palatino Linotype" w:eastAsia="Palatino Linotype" w:hAnsi="Palatino Linotype" w:cs="Palatino Linotype"/>
          <w:color w:val="000000"/>
          <w:sz w:val="24"/>
          <w:szCs w:val="24"/>
        </w:rPr>
        <w:t xml:space="preserve"> and participating retailers worldwide for an MSRP of </w:t>
      </w:r>
      <w:r>
        <w:rPr>
          <w:rFonts w:ascii="Palatino Linotype" w:eastAsia="Palatino Linotype" w:hAnsi="Palatino Linotype" w:cs="Palatino Linotype"/>
          <w:b/>
          <w:bCs/>
          <w:color w:val="000000"/>
          <w:sz w:val="24"/>
          <w:szCs w:val="24"/>
        </w:rPr>
        <w:t>$149.99/€129.99/£</w:t>
      </w:r>
      <w:proofErr w:type="gramStart"/>
      <w:r>
        <w:rPr>
          <w:rFonts w:ascii="Palatino Linotype" w:eastAsia="Palatino Linotype" w:hAnsi="Palatino Linotype" w:cs="Palatino Linotype"/>
          <w:b/>
          <w:bCs/>
          <w:color w:val="000000"/>
          <w:sz w:val="24"/>
          <w:szCs w:val="24"/>
        </w:rPr>
        <w:t>119.99</w:t>
      </w:r>
      <w:r>
        <w:rPr>
          <w:rFonts w:ascii="Palatino Linotype" w:eastAsia="Palatino Linotype" w:hAnsi="Palatino Linotype" w:cs="Palatino Linotype"/>
          <w:color w:val="000000"/>
          <w:sz w:val="24"/>
          <w:szCs w:val="24"/>
        </w:rPr>
        <w:t>, and</w:t>
      </w:r>
      <w:proofErr w:type="gramEnd"/>
      <w:r>
        <w:rPr>
          <w:rFonts w:ascii="Palatino Linotype" w:eastAsia="Palatino Linotype" w:hAnsi="Palatino Linotype" w:cs="Palatino Linotype"/>
          <w:color w:val="000000"/>
          <w:sz w:val="24"/>
          <w:szCs w:val="24"/>
        </w:rPr>
        <w:t xml:space="preserve"> launches October 25, 2026.</w:t>
      </w:r>
    </w:p>
    <w:p w14:paraId="4B467910" w14:textId="77777777" w:rsidR="00466DC1" w:rsidRDefault="00466DC1">
      <w:pPr>
        <w:spacing w:after="0" w:line="240" w:lineRule="auto"/>
        <w:jc w:val="both"/>
        <w:rPr>
          <w:rFonts w:ascii="Palatino Linotype" w:eastAsia="Palatino Linotype" w:hAnsi="Palatino Linotype" w:cs="Palatino Linotype"/>
          <w:color w:val="000000"/>
          <w:sz w:val="24"/>
          <w:szCs w:val="24"/>
        </w:rPr>
      </w:pPr>
    </w:p>
    <w:p w14:paraId="699F4595" w14:textId="77777777" w:rsidR="00466DC1" w:rsidRDefault="00000000">
      <w:pPr>
        <w:spacing w:line="276" w:lineRule="auto"/>
        <w:jc w:val="both"/>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 xml:space="preserve">Vulcan II XP Key Features </w:t>
      </w:r>
    </w:p>
    <w:p w14:paraId="1E3D5F1D"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TITAN HS 5-Pin Mechanical Switches</w:t>
      </w:r>
      <w:r>
        <w:rPr>
          <w:rFonts w:ascii="Palatino Linotype" w:eastAsia="Palatino Linotype" w:hAnsi="Palatino Linotype" w:cs="Palatino Linotype"/>
          <w:color w:val="000000"/>
          <w:sz w:val="24"/>
          <w:szCs w:val="24"/>
        </w:rPr>
        <w:br/>
        <w:t xml:space="preserve">Choose Red Linear for smooth, low-friction keystrokes with minimal resistance, or Brown Tactile for a light, responsive tactile bump. Both are factory pre-lubed with an optimized 5-pin housing for enhanced stability and a consistent feel, tested for up to 50 million keystrokes. </w:t>
      </w:r>
    </w:p>
    <w:p w14:paraId="3376AA49"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Hot-Swappable Design</w:t>
      </w:r>
      <w:r>
        <w:rPr>
          <w:rFonts w:ascii="Palatino Linotype" w:eastAsia="Palatino Linotype" w:hAnsi="Palatino Linotype" w:cs="Palatino Linotype"/>
          <w:color w:val="000000"/>
          <w:sz w:val="24"/>
          <w:szCs w:val="24"/>
        </w:rPr>
        <w:br/>
        <w:t xml:space="preserve">Designed for long-term versatility, the Vulcan II XP is compatible with both 3-pin and </w:t>
      </w:r>
      <w:r>
        <w:rPr>
          <w:rFonts w:ascii="Palatino Linotype" w:eastAsia="Palatino Linotype" w:hAnsi="Palatino Linotype" w:cs="Palatino Linotype"/>
          <w:color w:val="000000"/>
          <w:sz w:val="24"/>
          <w:szCs w:val="24"/>
        </w:rPr>
        <w:lastRenderedPageBreak/>
        <w:t>5-pin mechanical switches. Individual switches can be replaced without soldering, making it easy to refresh the typing experience, experiment with different switch types, and maintain the keyboard over time.</w:t>
      </w:r>
    </w:p>
    <w:p w14:paraId="6A6F88AF"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Refined Typing Sound &amp; Feel</w:t>
      </w:r>
      <w:r>
        <w:rPr>
          <w:rFonts w:ascii="Palatino Linotype" w:eastAsia="Palatino Linotype" w:hAnsi="Palatino Linotype" w:cs="Palatino Linotype"/>
          <w:color w:val="000000"/>
          <w:sz w:val="24"/>
          <w:szCs w:val="24"/>
        </w:rPr>
        <w:br/>
        <w:t>Factory pre-lubed TITAN HS switches and stabilizers work alongside integrated sound-dampening foam to reduce unwanted noise and vibration, delivering smoother keystrokes, cleaner acoustics, and the refined typing experience mechanical keyboard enthusiasts expect.</w:t>
      </w:r>
    </w:p>
    <w:p w14:paraId="53DB9D6E"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proofErr w:type="spellStart"/>
      <w:r>
        <w:rPr>
          <w:rFonts w:ascii="Palatino Linotype" w:eastAsia="Palatino Linotype" w:hAnsi="Palatino Linotype" w:cs="Palatino Linotype"/>
          <w:b/>
          <w:bCs/>
          <w:color w:val="000000"/>
          <w:sz w:val="24"/>
          <w:szCs w:val="24"/>
        </w:rPr>
        <w:t>ReacTap</w:t>
      </w:r>
      <w:proofErr w:type="spellEnd"/>
      <w:r>
        <w:rPr>
          <w:rFonts w:ascii="Palatino Linotype" w:eastAsia="Palatino Linotype" w:hAnsi="Palatino Linotype" w:cs="Palatino Linotype"/>
          <w:b/>
          <w:bCs/>
          <w:color w:val="000000"/>
          <w:sz w:val="24"/>
          <w:szCs w:val="24"/>
        </w:rPr>
        <w:t xml:space="preserve"> SOCD Technology</w:t>
      </w:r>
      <w:r>
        <w:rPr>
          <w:rFonts w:ascii="Palatino Linotype" w:eastAsia="Palatino Linotype" w:hAnsi="Palatino Linotype" w:cs="Palatino Linotype"/>
          <w:color w:val="000000"/>
          <w:sz w:val="24"/>
          <w:szCs w:val="24"/>
        </w:rPr>
        <w:br/>
      </w:r>
      <w:proofErr w:type="spellStart"/>
      <w:r>
        <w:rPr>
          <w:rFonts w:ascii="Palatino Linotype" w:eastAsia="Palatino Linotype" w:hAnsi="Palatino Linotype" w:cs="Palatino Linotype"/>
          <w:color w:val="000000"/>
          <w:sz w:val="24"/>
          <w:szCs w:val="24"/>
        </w:rPr>
        <w:t>ReacTap</w:t>
      </w:r>
      <w:proofErr w:type="spellEnd"/>
      <w:r>
        <w:rPr>
          <w:rFonts w:ascii="Palatino Linotype" w:eastAsia="Palatino Linotype" w:hAnsi="Palatino Linotype" w:cs="Palatino Linotype"/>
          <w:color w:val="000000"/>
          <w:sz w:val="24"/>
          <w:szCs w:val="24"/>
        </w:rPr>
        <w:t xml:space="preserve"> SOCD technology prioritizes the latest directional input to enable smoother movement, faster counter-strafing, and more responsive gameplay, providing enhanced speed, precision, and control during competitive play.</w:t>
      </w:r>
    </w:p>
    <w:p w14:paraId="2B336878"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Anti-Ghosting &amp; NKRO</w:t>
      </w:r>
      <w:r>
        <w:rPr>
          <w:rFonts w:ascii="Palatino Linotype" w:eastAsia="Palatino Linotype" w:hAnsi="Palatino Linotype" w:cs="Palatino Linotype"/>
          <w:color w:val="000000"/>
          <w:sz w:val="24"/>
          <w:szCs w:val="24"/>
        </w:rPr>
        <w:br/>
        <w:t>Full N-Key Rollover (NKRO) and anti-ghosting help ensure every keypress is accurately registered, even during demanding gameplay and complex multi-key combinations, so critical commands are captured when they matter most.</w:t>
      </w:r>
    </w:p>
    <w:p w14:paraId="6E3B7F75"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EASY-</w:t>
      </w:r>
      <w:proofErr w:type="gramStart"/>
      <w:r>
        <w:rPr>
          <w:rFonts w:ascii="Palatino Linotype" w:eastAsia="Palatino Linotype" w:hAnsi="Palatino Linotype" w:cs="Palatino Linotype"/>
          <w:b/>
          <w:bCs/>
          <w:color w:val="000000"/>
          <w:sz w:val="24"/>
          <w:szCs w:val="24"/>
        </w:rPr>
        <w:t>SHIFT[</w:t>
      </w:r>
      <w:proofErr w:type="gramEnd"/>
      <w:r>
        <w:rPr>
          <w:rFonts w:ascii="Palatino Linotype" w:eastAsia="Palatino Linotype" w:hAnsi="Palatino Linotype" w:cs="Palatino Linotype"/>
          <w:b/>
          <w:bCs/>
          <w:color w:val="000000"/>
          <w:sz w:val="24"/>
          <w:szCs w:val="24"/>
        </w:rPr>
        <w:t>+] &amp; Game Mode</w:t>
      </w:r>
      <w:r>
        <w:rPr>
          <w:rFonts w:ascii="Palatino Linotype" w:eastAsia="Palatino Linotype" w:hAnsi="Palatino Linotype" w:cs="Palatino Linotype"/>
          <w:color w:val="000000"/>
          <w:sz w:val="24"/>
          <w:szCs w:val="24"/>
        </w:rPr>
        <w:br/>
        <w:t>Turtle Beach EASY-</w:t>
      </w:r>
      <w:proofErr w:type="gramStart"/>
      <w:r>
        <w:rPr>
          <w:rFonts w:ascii="Palatino Linotype" w:eastAsia="Palatino Linotype" w:hAnsi="Palatino Linotype" w:cs="Palatino Linotype"/>
          <w:color w:val="000000"/>
          <w:sz w:val="24"/>
          <w:szCs w:val="24"/>
        </w:rPr>
        <w:t>SHIFT[</w:t>
      </w:r>
      <w:proofErr w:type="gramEnd"/>
      <w:r>
        <w:rPr>
          <w:rFonts w:ascii="Palatino Linotype" w:eastAsia="Palatino Linotype" w:hAnsi="Palatino Linotype" w:cs="Palatino Linotype"/>
          <w:color w:val="000000"/>
          <w:sz w:val="24"/>
          <w:szCs w:val="24"/>
        </w:rPr>
        <w:t xml:space="preserve">+] technology expands control by enabling players to remap keys, assign secondary functions, create custom macros, and access additional commands with a single key hold. Game Mode activates </w:t>
      </w:r>
      <w:proofErr w:type="spellStart"/>
      <w:r>
        <w:rPr>
          <w:rFonts w:ascii="Palatino Linotype" w:eastAsia="Palatino Linotype" w:hAnsi="Palatino Linotype" w:cs="Palatino Linotype"/>
          <w:color w:val="000000"/>
          <w:sz w:val="24"/>
          <w:szCs w:val="24"/>
        </w:rPr>
        <w:t>ReacTap</w:t>
      </w:r>
      <w:proofErr w:type="spellEnd"/>
      <w:r>
        <w:rPr>
          <w:rFonts w:ascii="Palatino Linotype" w:eastAsia="Palatino Linotype" w:hAnsi="Palatino Linotype" w:cs="Palatino Linotype"/>
          <w:color w:val="000000"/>
          <w:sz w:val="24"/>
          <w:szCs w:val="24"/>
        </w:rPr>
        <w:t xml:space="preserve"> and locks the Windows key to help prevent accidental interruptions during gameplay.</w:t>
      </w:r>
    </w:p>
    <w:p w14:paraId="7B95B0B9"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Award-Winning Vulcan Design</w:t>
      </w:r>
      <w:r>
        <w:rPr>
          <w:rFonts w:ascii="Palatino Linotype" w:eastAsia="Palatino Linotype" w:hAnsi="Palatino Linotype" w:cs="Palatino Linotype"/>
          <w:color w:val="000000"/>
          <w:sz w:val="24"/>
          <w:szCs w:val="24"/>
        </w:rPr>
        <w:br/>
        <w:t>Building on the award-winning Vulcan low-profile body design, the Vulcan II XP features a distinctive floating-key architecture, durable brushed aluminum top plate, and dedicated media controls for lasting durability, enhanced key visibility, and a premium look and feel.</w:t>
      </w:r>
    </w:p>
    <w:p w14:paraId="38A9A7C3"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Per-Key AIMO RGB Lighting &amp; Windows Dynamic Lighting</w:t>
      </w:r>
      <w:r>
        <w:rPr>
          <w:rFonts w:ascii="Palatino Linotype" w:eastAsia="Palatino Linotype" w:hAnsi="Palatino Linotype" w:cs="Palatino Linotype"/>
          <w:color w:val="000000"/>
          <w:sz w:val="24"/>
          <w:szCs w:val="24"/>
        </w:rPr>
        <w:br/>
        <w:t>Vibrant per-key AIMO RGB lighting provides extensive personalization and can be synchronized across compatible AIMO devices through Swarm II software. Windows Dynamic Lighting support also enables users to manage keyboard lighting directly through Windows 11 and coordinate effects with compatible third-party devices without requiring additional software.</w:t>
      </w:r>
    </w:p>
    <w:p w14:paraId="5F95B5BC"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Deep Customization</w:t>
      </w:r>
      <w:r>
        <w:rPr>
          <w:rFonts w:ascii="Palatino Linotype" w:eastAsia="Palatino Linotype" w:hAnsi="Palatino Linotype" w:cs="Palatino Linotype"/>
          <w:color w:val="000000"/>
          <w:sz w:val="24"/>
          <w:szCs w:val="24"/>
        </w:rPr>
        <w:br/>
        <w:t>Swarm II software enables key remapping, custom macros, RGB personalization, and management of up to five onboard profiles for convenient access to preferred settings. Compatibility with most third-party cross-shaped keycap sets provides additional flexibility to personalize the keyboard’s appearance and feel.</w:t>
      </w:r>
    </w:p>
    <w:p w14:paraId="0D69DB98"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lastRenderedPageBreak/>
        <w:t>Dedicated Multi-Function Media Wheel</w:t>
      </w:r>
      <w:r>
        <w:rPr>
          <w:rFonts w:ascii="Palatino Linotype" w:eastAsia="Palatino Linotype" w:hAnsi="Palatino Linotype" w:cs="Palatino Linotype"/>
          <w:color w:val="000000"/>
          <w:sz w:val="24"/>
          <w:szCs w:val="24"/>
        </w:rPr>
        <w:br/>
        <w:t>The dedicated multi-function media wheel provides convenient volume adjustment and push-to-mute functionality, while Windows Wheel support enables intuitive navigation and creative workflow control within compatible Windows applications.</w:t>
      </w:r>
    </w:p>
    <w:p w14:paraId="311A1815"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Detachable Soft Wrist Rest</w:t>
      </w:r>
      <w:r>
        <w:rPr>
          <w:rFonts w:ascii="Palatino Linotype" w:eastAsia="Palatino Linotype" w:hAnsi="Palatino Linotype" w:cs="Palatino Linotype"/>
          <w:color w:val="000000"/>
          <w:sz w:val="24"/>
          <w:szCs w:val="24"/>
        </w:rPr>
        <w:br/>
        <w:t>A detachable soft wrist rest wrapped in premium vegan leatherette provides ergonomic support and added comfort during extended gaming sessions, work, and everyday use.</w:t>
      </w:r>
    </w:p>
    <w:p w14:paraId="511AAA81" w14:textId="77777777" w:rsidR="00466DC1" w:rsidRDefault="00000000">
      <w:pPr>
        <w:widowControl/>
        <w:pBdr>
          <w:top w:val="nil"/>
          <w:left w:val="nil"/>
          <w:bottom w:val="nil"/>
          <w:right w:val="nil"/>
          <w:between w:val="nil"/>
        </w:pBdr>
        <w:spacing w:before="180" w:after="180" w:line="240" w:lineRule="auto"/>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Left-Side Detachable USB-C Cable</w:t>
      </w:r>
      <w:r>
        <w:rPr>
          <w:rFonts w:ascii="Palatino Linotype" w:eastAsia="Palatino Linotype" w:hAnsi="Palatino Linotype" w:cs="Palatino Linotype"/>
          <w:color w:val="000000"/>
          <w:sz w:val="24"/>
          <w:szCs w:val="24"/>
        </w:rPr>
        <w:br/>
        <w:t>The left-side USB-C connection helps keep the cable clear of the mouse area for unrestricted movement, while the detachable design supports cleaner cable management and easier transportation.</w:t>
      </w:r>
    </w:p>
    <w:p w14:paraId="070BFEA5" w14:textId="77777777" w:rsidR="00466DC1" w:rsidRDefault="00466DC1">
      <w:pPr>
        <w:widowControl/>
        <w:pBdr>
          <w:top w:val="nil"/>
          <w:left w:val="nil"/>
          <w:bottom w:val="nil"/>
          <w:right w:val="nil"/>
          <w:between w:val="nil"/>
        </w:pBdr>
        <w:spacing w:before="180" w:after="180" w:line="240" w:lineRule="auto"/>
        <w:rPr>
          <w:rFonts w:ascii="Palatino Linotype" w:eastAsia="Palatino Linotype" w:hAnsi="Palatino Linotype" w:cs="Palatino Linotype"/>
          <w:color w:val="000000"/>
          <w:sz w:val="24"/>
          <w:szCs w:val="24"/>
        </w:rPr>
      </w:pPr>
    </w:p>
    <w:p w14:paraId="7234A301" w14:textId="77777777" w:rsidR="00466DC1" w:rsidRDefault="00000000">
      <w:pPr>
        <w:spacing w:before="220" w:after="220" w:line="288"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For more information on the latest Turtle Beach peripherals and accessories, visit </w:t>
      </w:r>
      <w:hyperlink r:id="rId11">
        <w:r>
          <w:rPr>
            <w:rFonts w:ascii="Palatino Linotype" w:eastAsia="Palatino Linotype" w:hAnsi="Palatino Linotype" w:cs="Palatino Linotype"/>
            <w:color w:val="0000FF"/>
            <w:sz w:val="24"/>
            <w:szCs w:val="24"/>
            <w:u w:val="single"/>
          </w:rPr>
          <w:t>www.turtlebeach.com</w:t>
        </w:r>
      </w:hyperlink>
      <w:r>
        <w:rPr>
          <w:rFonts w:ascii="Palatino Linotype" w:eastAsia="Palatino Linotype" w:hAnsi="Palatino Linotype" w:cs="Palatino Linotype"/>
          <w:sz w:val="24"/>
          <w:szCs w:val="24"/>
        </w:rPr>
        <w:t> and be sure to follow Turtle Beach on </w:t>
      </w:r>
      <w:hyperlink r:id="rId12">
        <w:r>
          <w:rPr>
            <w:rFonts w:ascii="Palatino Linotype" w:eastAsia="Palatino Linotype" w:hAnsi="Palatino Linotype" w:cs="Palatino Linotype"/>
            <w:color w:val="0000FF"/>
            <w:sz w:val="24"/>
            <w:szCs w:val="24"/>
            <w:u w:val="single"/>
          </w:rPr>
          <w:t>TikTok</w:t>
        </w:r>
      </w:hyperlink>
      <w:r>
        <w:rPr>
          <w:rFonts w:ascii="Palatino Linotype" w:eastAsia="Palatino Linotype" w:hAnsi="Palatino Linotype" w:cs="Palatino Linotype"/>
          <w:sz w:val="24"/>
          <w:szCs w:val="24"/>
        </w:rPr>
        <w:t>, </w:t>
      </w:r>
      <w:hyperlink r:id="rId13">
        <w:r>
          <w:rPr>
            <w:rFonts w:ascii="Palatino Linotype" w:eastAsia="Palatino Linotype" w:hAnsi="Palatino Linotype" w:cs="Palatino Linotype"/>
            <w:color w:val="0000FF"/>
            <w:sz w:val="24"/>
            <w:szCs w:val="24"/>
            <w:u w:val="single"/>
          </w:rPr>
          <w:t>Twitter</w:t>
        </w:r>
      </w:hyperlink>
      <w:r>
        <w:rPr>
          <w:rFonts w:ascii="Palatino Linotype" w:eastAsia="Palatino Linotype" w:hAnsi="Palatino Linotype" w:cs="Palatino Linotype"/>
          <w:sz w:val="24"/>
          <w:szCs w:val="24"/>
        </w:rPr>
        <w:t>, </w:t>
      </w:r>
      <w:hyperlink r:id="rId14">
        <w:r>
          <w:rPr>
            <w:rFonts w:ascii="Palatino Linotype" w:eastAsia="Palatino Linotype" w:hAnsi="Palatino Linotype" w:cs="Palatino Linotype"/>
            <w:color w:val="0000FF"/>
            <w:sz w:val="24"/>
            <w:szCs w:val="24"/>
            <w:u w:val="single"/>
          </w:rPr>
          <w:t>Instagram</w:t>
        </w:r>
      </w:hyperlink>
      <w:r>
        <w:rPr>
          <w:rFonts w:ascii="Palatino Linotype" w:eastAsia="Palatino Linotype" w:hAnsi="Palatino Linotype" w:cs="Palatino Linotype"/>
          <w:sz w:val="24"/>
          <w:szCs w:val="24"/>
        </w:rPr>
        <w:t>, </w:t>
      </w:r>
      <w:hyperlink r:id="rId15">
        <w:r>
          <w:rPr>
            <w:rFonts w:ascii="Palatino Linotype" w:eastAsia="Palatino Linotype" w:hAnsi="Palatino Linotype" w:cs="Palatino Linotype"/>
            <w:color w:val="0000FF"/>
            <w:sz w:val="24"/>
            <w:szCs w:val="24"/>
            <w:u w:val="single"/>
          </w:rPr>
          <w:t>Facebook</w:t>
        </w:r>
      </w:hyperlink>
      <w:r>
        <w:rPr>
          <w:rFonts w:ascii="Palatino Linotype" w:eastAsia="Palatino Linotype" w:hAnsi="Palatino Linotype" w:cs="Palatino Linotype"/>
          <w:sz w:val="24"/>
          <w:szCs w:val="24"/>
        </w:rPr>
        <w:t> and </w:t>
      </w:r>
      <w:hyperlink r:id="rId16">
        <w:r>
          <w:rPr>
            <w:rFonts w:ascii="Palatino Linotype" w:eastAsia="Palatino Linotype" w:hAnsi="Palatino Linotype" w:cs="Palatino Linotype"/>
            <w:color w:val="0000FF"/>
            <w:sz w:val="24"/>
            <w:szCs w:val="24"/>
            <w:u w:val="single"/>
          </w:rPr>
          <w:t>YouTube</w:t>
        </w:r>
      </w:hyperlink>
      <w:r>
        <w:rPr>
          <w:rFonts w:ascii="Palatino Linotype" w:eastAsia="Palatino Linotype" w:hAnsi="Palatino Linotype" w:cs="Palatino Linotype"/>
          <w:sz w:val="24"/>
          <w:szCs w:val="24"/>
        </w:rPr>
        <w:t>.</w:t>
      </w:r>
    </w:p>
    <w:p w14:paraId="685E5DDD" w14:textId="77777777" w:rsidR="00466DC1" w:rsidRDefault="00466DC1">
      <w:pPr>
        <w:spacing w:line="276" w:lineRule="auto"/>
        <w:jc w:val="both"/>
        <w:rPr>
          <w:rFonts w:ascii="Palatino Linotype" w:eastAsia="Palatino Linotype" w:hAnsi="Palatino Linotype" w:cs="Palatino Linotype"/>
        </w:rPr>
      </w:pPr>
    </w:p>
    <w:p w14:paraId="0743D4E9" w14:textId="77777777" w:rsidR="00466DC1" w:rsidRDefault="00000000">
      <w:pPr>
        <w:shd w:val="clear" w:color="auto" w:fill="FFFFFF"/>
        <w:spacing w:before="220" w:after="0" w:line="276" w:lineRule="auto"/>
        <w:jc w:val="both"/>
        <w:rPr>
          <w:rFonts w:ascii="Palatino Linotype" w:eastAsia="Palatino Linotype" w:hAnsi="Palatino Linotype" w:cs="Palatino Linotype"/>
          <w:b/>
          <w:bCs/>
          <w:u w:val="single"/>
        </w:rPr>
      </w:pPr>
      <w:r>
        <w:rPr>
          <w:rFonts w:ascii="Palatino Linotype" w:eastAsia="Palatino Linotype" w:hAnsi="Palatino Linotype" w:cs="Palatino Linotype"/>
          <w:b/>
          <w:bCs/>
          <w:u w:val="single"/>
        </w:rPr>
        <w:t>About Turtle Beach Corporation</w:t>
      </w:r>
    </w:p>
    <w:p w14:paraId="504B9827" w14:textId="77777777" w:rsidR="00466DC1" w:rsidRDefault="00000000">
      <w:pPr>
        <w:shd w:val="clear" w:color="auto" w:fill="FFFFFF"/>
        <w:spacing w:after="220" w:line="276" w:lineRule="auto"/>
        <w:jc w:val="both"/>
        <w:rPr>
          <w:rFonts w:ascii="Palatino Linotype" w:eastAsia="Palatino Linotype" w:hAnsi="Palatino Linotype" w:cs="Palatino Linotype"/>
        </w:rPr>
      </w:pPr>
      <w:r>
        <w:rPr>
          <w:rFonts w:ascii="Palatino Linotype" w:eastAsia="Palatino Linotype" w:hAnsi="Palatino Linotype" w:cs="Palatino Linotype"/>
        </w:rPr>
        <w:t>Turtle Beach Corporation (the “Company”) (</w:t>
      </w:r>
      <w:hyperlink r:id="rId17">
        <w:r>
          <w:rPr>
            <w:rFonts w:ascii="Palatino Linotype" w:eastAsia="Palatino Linotype" w:hAnsi="Palatino Linotype" w:cs="Palatino Linotype"/>
            <w:color w:val="0000FF"/>
            <w:u w:val="single"/>
          </w:rPr>
          <w:t>www.turtlebeachcorp.com</w:t>
        </w:r>
      </w:hyperlink>
      <w:r>
        <w:rPr>
          <w:rFonts w:ascii="Palatino Linotype" w:eastAsia="Palatino Linotype" w:hAnsi="Palatino Linotype" w:cs="Palatino Linotype"/>
        </w:rPr>
        <w:t>) is one of the world’s leading gaming accessory providers. The Company’s namesake Turtle Beach brand (</w:t>
      </w:r>
      <w:hyperlink r:id="rId18">
        <w:r>
          <w:rPr>
            <w:rFonts w:ascii="Palatino Linotype" w:eastAsia="Palatino Linotype" w:hAnsi="Palatino Linotype" w:cs="Palatino Linotype"/>
            <w:color w:val="0000FF"/>
            <w:u w:val="single"/>
          </w:rPr>
          <w:t>www.turtlebeach.com</w:t>
        </w:r>
      </w:hyperlink>
      <w:r>
        <w:rPr>
          <w:rFonts w:ascii="Palatino Linotype" w:eastAsia="Palatino Linotype" w:hAnsi="Palatino Linotype" w:cs="Palatino Linotype"/>
        </w:rPr>
        <w:t xml:space="preserve">) is known for designing best-selling gaming headsets, top-rated game controllers, award-winning PC gaming peripherals, and groundbreaking gaming simulation accessories. Turtle Beach’s top-rated, fan-favorite Victrix brand is well-respected and favored by pro gamers in esports and the fighting game community. Innovation, first-to-market features, a broad range of products for all types of gamers, and </w:t>
      </w:r>
      <w:hyperlink r:id="rId19">
        <w:r>
          <w:rPr>
            <w:rFonts w:ascii="Palatino Linotype" w:eastAsia="Palatino Linotype" w:hAnsi="Palatino Linotype" w:cs="Palatino Linotype"/>
            <w:color w:val="0000FF"/>
            <w:u w:val="single"/>
          </w:rPr>
          <w:t>top-rated customer support</w:t>
        </w:r>
      </w:hyperlink>
      <w:r>
        <w:rPr>
          <w:rFonts w:ascii="Palatino Linotype" w:eastAsia="Palatino Linotype" w:hAnsi="Palatino Linotype" w:cs="Palatino Linotype"/>
        </w:rPr>
        <w:t xml:space="preserve">  have made Turtle Beach a fan-favorite brand and the market leader in console gaming audio for over a decade. Turtle Beach’s shares are traded on the Nasdaq Exchange under the symbol: TBCH.</w:t>
      </w:r>
    </w:p>
    <w:p w14:paraId="7F190221" w14:textId="77777777" w:rsidR="00466DC1" w:rsidRDefault="00000000">
      <w:pPr>
        <w:shd w:val="clear" w:color="auto" w:fill="FFFFFF"/>
        <w:spacing w:before="220" w:after="0" w:line="288" w:lineRule="auto"/>
        <w:jc w:val="both"/>
        <w:rPr>
          <w:rFonts w:ascii="Palatino Linotype" w:eastAsia="Palatino Linotype" w:hAnsi="Palatino Linotype" w:cs="Palatino Linotype"/>
          <w:color w:val="393939"/>
          <w:sz w:val="20"/>
          <w:szCs w:val="20"/>
          <w:u w:val="single"/>
        </w:rPr>
      </w:pPr>
      <w:r>
        <w:rPr>
          <w:rFonts w:ascii="Palatino Linotype" w:eastAsia="Palatino Linotype" w:hAnsi="Palatino Linotype" w:cs="Palatino Linotype"/>
          <w:color w:val="393939"/>
          <w:sz w:val="20"/>
          <w:szCs w:val="20"/>
          <w:u w:val="single"/>
        </w:rPr>
        <w:t>Cautionary Note on Forward-Looking Statements</w:t>
      </w:r>
    </w:p>
    <w:p w14:paraId="7D73B6C1" w14:textId="77777777" w:rsidR="00466DC1" w:rsidRDefault="00000000">
      <w:pPr>
        <w:shd w:val="clear" w:color="auto" w:fill="FFFFFF"/>
        <w:spacing w:after="220"/>
        <w:jc w:val="both"/>
        <w:rPr>
          <w:rFonts w:ascii="Palatino Linotype" w:eastAsia="Palatino Linotype" w:hAnsi="Palatino Linotype" w:cs="Palatino Linotype"/>
          <w:color w:val="393939"/>
          <w:sz w:val="18"/>
          <w:szCs w:val="18"/>
        </w:rPr>
      </w:pPr>
      <w:r>
        <w:rPr>
          <w:rFonts w:ascii="Palatino Linotype" w:eastAsia="Palatino Linotype" w:hAnsi="Palatino Linotype" w:cs="Palatino Linotype"/>
          <w:color w:val="393939"/>
          <w:sz w:val="18"/>
          <w:szCs w:val="18"/>
        </w:rPr>
        <w:t>This press release includes forward-looking information and statements within the meaning of the federal securities</w:t>
      </w:r>
      <w:r>
        <w:rPr>
          <w:rFonts w:ascii="Palatino Linotype" w:eastAsia="Palatino Linotype" w:hAnsi="Palatino Linotype" w:cs="Palatino Linotype"/>
          <w:b/>
          <w:bCs/>
          <w:i/>
          <w:iCs/>
          <w:color w:val="393939"/>
          <w:sz w:val="18"/>
          <w:szCs w:val="18"/>
        </w:rPr>
        <w:t xml:space="preserve"> </w:t>
      </w:r>
      <w:r>
        <w:rPr>
          <w:rFonts w:ascii="Palatino Linotype" w:eastAsia="Palatino Linotype" w:hAnsi="Palatino Linotype" w:cs="Palatino Linotype"/>
          <w:color w:val="393939"/>
          <w:sz w:val="18"/>
          <w:szCs w:val="18"/>
        </w:rPr>
        <w:t xml:space="preserve">laws. Except for historical information contained in this release, statements in this release may constitute forward-looking statements regarding assumptions, projections, expectations, targets, intentions or beliefs about future events. Statements containing the words “may,” “could,” “would,” “should,” “believe,” “expect,” “anticipate,” “plan,” “estimate,” “target,” “goal,” “project,” “intend” and similar expressions, or the negatives thereof, constitute forward-looking statements. Forward-looking statements are only predictions and are not guarantees of performance. Forward-looking statements involve known and unknown risks and uncertainties, which could cause actual results to differ materially from those contained in any forward-looking statement. The inclusion of such information should not be regarded as a representation by the Company, or any person, that the objectives of the Company will be achieved. Forward-looking statements are based on management’s current </w:t>
      </w:r>
      <w:r>
        <w:rPr>
          <w:rFonts w:ascii="Palatino Linotype" w:eastAsia="Palatino Linotype" w:hAnsi="Palatino Linotype" w:cs="Palatino Linotype"/>
          <w:color w:val="393939"/>
          <w:sz w:val="18"/>
          <w:szCs w:val="18"/>
        </w:rPr>
        <w:lastRenderedPageBreak/>
        <w:t>beliefs and expectations, as well as assumptions made by, and information currently available to, management.</w:t>
      </w:r>
    </w:p>
    <w:p w14:paraId="5B36F33D" w14:textId="77777777" w:rsidR="00466DC1" w:rsidRDefault="00000000">
      <w:pPr>
        <w:shd w:val="clear" w:color="auto" w:fill="FFFFFF"/>
        <w:spacing w:before="220" w:after="220"/>
        <w:jc w:val="both"/>
        <w:rPr>
          <w:rFonts w:ascii="Palatino Linotype" w:eastAsia="Palatino Linotype" w:hAnsi="Palatino Linotype" w:cs="Palatino Linotype"/>
          <w:color w:val="393939"/>
          <w:sz w:val="20"/>
          <w:szCs w:val="20"/>
        </w:rPr>
      </w:pPr>
      <w:r>
        <w:rPr>
          <w:rFonts w:ascii="Palatino Linotype" w:eastAsia="Palatino Linotype" w:hAnsi="Palatino Linotype" w:cs="Palatino Linotype"/>
          <w:color w:val="393939"/>
          <w:sz w:val="18"/>
          <w:szCs w:val="18"/>
        </w:rPr>
        <w:t>While the Company believes that its expectations are based upon reasonable assumptions, there can be no assurances that its goals and strategy will be realized. Numerous factors, including risks and uncertainties, may affect actual results and may cause results to differ materially from those expressed in forward-looking statements made by the Company or on its behalf. Some of these factors include, but are not limited to, risks related to trade policies, including the imposition of tariffs on imported goods and other trade restrictions, the release and availability of successful game titles, macroeconomic conditions affecting the demand for our products, logistic and supply chain challenges and costs, dependence on the success and availability of third parties to manufacture and manage the logistics of transporting and distributing our products, the substantial uncertainties inherent in the acceptance of existing and future products, the difficulty of commercializing and protecting new technology, the impact of competitive products and pricing, general business and economic conditions, the expansion of our business, including the integration of any businesses we acquire and the integration of such businesses within our internal control over financial reporting and operations, our indebtedness, liquidity, and other factors discussed in our public filings, including the risk factors included in the Company’s most recent Annual Report on Form 10-K, Quarterly Report on Form 10-Q, and the Company’s other periodic reports filed with the Securities and Exchange Commission. Except as required by applicable law, including the securities laws of the United States and the rules and regulations of the Securities and Exchange Commission, the Company is under no obligation to publicly update or revise any forward-looking statement after the date of this release whether as a result of new information, future developments or otherwise.</w:t>
      </w:r>
    </w:p>
    <w:p w14:paraId="661E3F01" w14:textId="77777777" w:rsidR="00466DC1" w:rsidRDefault="00000000">
      <w:pPr>
        <w:shd w:val="clear" w:color="auto" w:fill="FFFFFF"/>
        <w:spacing w:before="220" w:after="220"/>
        <w:jc w:val="both"/>
        <w:rPr>
          <w:rFonts w:ascii="Palatino Linotype" w:eastAsia="Palatino Linotype" w:hAnsi="Palatino Linotype" w:cs="Palatino Linotype"/>
          <w:color w:val="393939"/>
          <w:sz w:val="18"/>
          <w:szCs w:val="18"/>
        </w:rPr>
      </w:pPr>
      <w:r>
        <w:rPr>
          <w:rFonts w:ascii="Palatino Linotype" w:eastAsia="Palatino Linotype" w:hAnsi="Palatino Linotype" w:cs="Palatino Linotype"/>
          <w:color w:val="393939"/>
          <w:sz w:val="18"/>
          <w:szCs w:val="18"/>
        </w:rPr>
        <w:t>All trademarks are the property of their respective owners.</w:t>
      </w:r>
    </w:p>
    <w:p w14:paraId="3163ED05" w14:textId="77777777" w:rsidR="00466DC1" w:rsidRDefault="00466DC1">
      <w:pPr>
        <w:rPr>
          <w:color w:val="393939"/>
          <w:sz w:val="20"/>
          <w:szCs w:val="20"/>
        </w:rPr>
      </w:pPr>
    </w:p>
    <w:p w14:paraId="6188A29E" w14:textId="77777777" w:rsidR="00466DC1" w:rsidRDefault="00000000">
      <w:pPr>
        <w:pStyle w:val="Heading1"/>
        <w:keepNext w:val="0"/>
        <w:keepLines w:val="0"/>
        <w:spacing w:before="0" w:after="0"/>
        <w:ind w:left="100"/>
        <w:jc w:val="center"/>
        <w:rPr>
          <w:rFonts w:ascii="Palatino Linotype" w:eastAsia="Palatino Linotype" w:hAnsi="Palatino Linotype" w:cs="Palatino Linotype"/>
          <w:color w:val="393939"/>
          <w:sz w:val="24"/>
          <w:szCs w:val="24"/>
        </w:rPr>
      </w:pPr>
      <w:bookmarkStart w:id="0" w:name="_7233cbx60eyl" w:colFirst="0" w:colLast="0"/>
      <w:bookmarkEnd w:id="0"/>
      <w:r>
        <w:rPr>
          <w:rFonts w:ascii="Palatino Linotype" w:eastAsia="Palatino Linotype" w:hAnsi="Palatino Linotype" w:cs="Palatino Linotype"/>
          <w:color w:val="393939"/>
          <w:sz w:val="24"/>
          <w:szCs w:val="24"/>
        </w:rPr>
        <w:t>#  #  #</w:t>
      </w:r>
    </w:p>
    <w:p w14:paraId="51D38461" w14:textId="77777777" w:rsidR="00466DC1" w:rsidRDefault="00466DC1">
      <w:pPr>
        <w:pBdr>
          <w:bottom w:val="single" w:sz="6" w:space="1" w:color="000000"/>
        </w:pBdr>
        <w:rPr>
          <w:b/>
          <w:bCs/>
          <w:color w:val="393939"/>
          <w:sz w:val="20"/>
          <w:szCs w:val="20"/>
        </w:rPr>
      </w:pPr>
    </w:p>
    <w:p w14:paraId="3A8A562E" w14:textId="77777777" w:rsidR="00466DC1" w:rsidRDefault="00466DC1">
      <w:pPr>
        <w:rPr>
          <w:b/>
          <w:bCs/>
          <w:color w:val="393939"/>
          <w:sz w:val="20"/>
          <w:szCs w:val="20"/>
        </w:rPr>
      </w:pPr>
    </w:p>
    <w:p w14:paraId="1F5BB8E4" w14:textId="77777777" w:rsidR="00466DC1" w:rsidRDefault="00466DC1">
      <w:pPr>
        <w:rPr>
          <w:b/>
          <w:bCs/>
          <w:color w:val="393939"/>
          <w:sz w:val="20"/>
          <w:szCs w:val="20"/>
        </w:rPr>
      </w:pPr>
    </w:p>
    <w:p w14:paraId="1CD0CC8F"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CONTACTS:</w:t>
      </w:r>
    </w:p>
    <w:p w14:paraId="1144599A" w14:textId="77777777" w:rsidR="00466DC1" w:rsidRDefault="00466DC1">
      <w:pPr>
        <w:spacing w:after="0" w:line="240" w:lineRule="auto"/>
        <w:rPr>
          <w:rFonts w:ascii="Palatino Linotype" w:eastAsia="Palatino Linotype" w:hAnsi="Palatino Linotype" w:cs="Palatino Linotype"/>
          <w:color w:val="393939"/>
          <w:sz w:val="20"/>
          <w:szCs w:val="20"/>
        </w:rPr>
      </w:pPr>
    </w:p>
    <w:p w14:paraId="062E1FA6"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u w:val="single"/>
        </w:rPr>
        <w:t>North America</w:t>
      </w:r>
    </w:p>
    <w:p w14:paraId="3280C759"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Eric Nielsen</w:t>
      </w:r>
    </w:p>
    <w:p w14:paraId="116C62F9"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Step 3 Public Relations</w:t>
      </w:r>
    </w:p>
    <w:p w14:paraId="061DA26F" w14:textId="77777777" w:rsidR="00466DC1" w:rsidRDefault="00000000">
      <w:pPr>
        <w:spacing w:after="0" w:line="240" w:lineRule="auto"/>
        <w:rPr>
          <w:rFonts w:ascii="Palatino Linotype" w:eastAsia="Palatino Linotype" w:hAnsi="Palatino Linotype" w:cs="Palatino Linotype"/>
          <w:color w:val="0000FF"/>
          <w:sz w:val="20"/>
          <w:szCs w:val="20"/>
        </w:rPr>
      </w:pPr>
      <w:hyperlink r:id="rId20">
        <w:r>
          <w:rPr>
            <w:b/>
            <w:bCs/>
            <w:color w:val="0000FF"/>
            <w:u w:val="single"/>
          </w:rPr>
          <w:t>eric@step-3.com</w:t>
        </w:r>
      </w:hyperlink>
    </w:p>
    <w:p w14:paraId="39ED23BD"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color w:val="393939"/>
          <w:sz w:val="20"/>
          <w:szCs w:val="20"/>
        </w:rPr>
        <w:t>  </w:t>
      </w:r>
    </w:p>
    <w:p w14:paraId="5980D1F7"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u w:val="single"/>
        </w:rPr>
        <w:t>Europe</w:t>
      </w:r>
    </w:p>
    <w:p w14:paraId="3E03D56F"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Keith Hennessey</w:t>
      </w:r>
    </w:p>
    <w:p w14:paraId="341FE1F6"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Sr. Director, International Marketing &amp; Global Partnerships</w:t>
      </w:r>
    </w:p>
    <w:p w14:paraId="462C5DA7"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Turtle Beach Europe Limited</w:t>
      </w:r>
    </w:p>
    <w:p w14:paraId="2F11ADDB" w14:textId="77777777" w:rsidR="00466DC1" w:rsidRDefault="00000000">
      <w:pPr>
        <w:spacing w:after="0" w:line="240" w:lineRule="auto"/>
        <w:rPr>
          <w:rFonts w:ascii="Palatino Linotype" w:eastAsia="Palatino Linotype" w:hAnsi="Palatino Linotype" w:cs="Palatino Linotype"/>
          <w:color w:val="0000FF"/>
          <w:sz w:val="20"/>
          <w:szCs w:val="20"/>
        </w:rPr>
      </w:pPr>
      <w:hyperlink r:id="rId21">
        <w:r>
          <w:rPr>
            <w:b/>
            <w:bCs/>
            <w:color w:val="0000FF"/>
            <w:u w:val="single"/>
          </w:rPr>
          <w:t>keith.hennessey@turtlebeach.com</w:t>
        </w:r>
      </w:hyperlink>
    </w:p>
    <w:p w14:paraId="54476A66"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color w:val="393939"/>
          <w:sz w:val="20"/>
          <w:szCs w:val="20"/>
        </w:rPr>
        <w:t> </w:t>
      </w:r>
    </w:p>
    <w:p w14:paraId="52C99B9A"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u w:val="single"/>
        </w:rPr>
        <w:t>Investor Information</w:t>
      </w:r>
    </w:p>
    <w:p w14:paraId="1B6346E7"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ICR</w:t>
      </w:r>
    </w:p>
    <w:p w14:paraId="4AA3CB3B" w14:textId="77777777" w:rsidR="00466DC1" w:rsidRDefault="00000000">
      <w:pPr>
        <w:spacing w:after="0" w:line="240" w:lineRule="auto"/>
        <w:rPr>
          <w:rFonts w:ascii="Palatino Linotype" w:eastAsia="Palatino Linotype" w:hAnsi="Palatino Linotype" w:cs="Palatino Linotype"/>
          <w:color w:val="333333"/>
        </w:rPr>
      </w:pPr>
      <w:r>
        <w:rPr>
          <w:rFonts w:ascii="Palatino Linotype" w:eastAsia="Palatino Linotype" w:hAnsi="Palatino Linotype" w:cs="Palatino Linotype"/>
          <w:b/>
          <w:bCs/>
          <w:color w:val="0000FF"/>
          <w:sz w:val="20"/>
          <w:szCs w:val="20"/>
          <w:u w:val="single"/>
        </w:rPr>
        <w:t>tbch</w:t>
      </w:r>
      <w:hyperlink r:id="rId22">
        <w:r>
          <w:rPr>
            <w:b/>
            <w:bCs/>
            <w:color w:val="0000FF"/>
            <w:u w:val="single"/>
          </w:rPr>
          <w:t>@icrinc.com</w:t>
        </w:r>
      </w:hyperlink>
    </w:p>
    <w:p w14:paraId="08B882EF"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color w:val="393939"/>
          <w:sz w:val="20"/>
          <w:szCs w:val="20"/>
        </w:rPr>
        <w:t>  </w:t>
      </w:r>
    </w:p>
    <w:p w14:paraId="2983BEE7" w14:textId="77777777" w:rsidR="00466DC1" w:rsidRDefault="00000000">
      <w:pPr>
        <w:spacing w:after="0" w:line="240" w:lineRule="auto"/>
        <w:jc w:val="both"/>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u w:val="single"/>
        </w:rPr>
        <w:t>Corporate Communications &amp; Media</w:t>
      </w:r>
    </w:p>
    <w:p w14:paraId="3E3F609C" w14:textId="77777777" w:rsidR="00466DC1" w:rsidRDefault="00000000">
      <w:pPr>
        <w:spacing w:after="0" w:line="240" w:lineRule="auto"/>
        <w:jc w:val="both"/>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Kim DeNapoli</w:t>
      </w:r>
    </w:p>
    <w:p w14:paraId="206A1F75"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SVP, Head of Brand</w:t>
      </w:r>
    </w:p>
    <w:p w14:paraId="22459CBA" w14:textId="77777777" w:rsidR="00466DC1" w:rsidRDefault="00000000">
      <w:pPr>
        <w:spacing w:after="0" w:line="240" w:lineRule="auto"/>
        <w:rPr>
          <w:rFonts w:ascii="Palatino Linotype" w:eastAsia="Palatino Linotype" w:hAnsi="Palatino Linotype" w:cs="Palatino Linotype"/>
          <w:color w:val="393939"/>
          <w:sz w:val="20"/>
          <w:szCs w:val="20"/>
        </w:rPr>
      </w:pPr>
      <w:r>
        <w:rPr>
          <w:rFonts w:ascii="Palatino Linotype" w:eastAsia="Palatino Linotype" w:hAnsi="Palatino Linotype" w:cs="Palatino Linotype"/>
          <w:b/>
          <w:bCs/>
          <w:color w:val="393939"/>
          <w:sz w:val="20"/>
          <w:szCs w:val="20"/>
        </w:rPr>
        <w:t>Turtle Beach Corporation</w:t>
      </w:r>
    </w:p>
    <w:p w14:paraId="349BC58B" w14:textId="254FDB98" w:rsidR="00466DC1" w:rsidRPr="00337C86" w:rsidRDefault="00000000" w:rsidP="00337C86">
      <w:pPr>
        <w:spacing w:after="0" w:line="240" w:lineRule="auto"/>
        <w:rPr>
          <w:rFonts w:ascii="Palatino Linotype" w:eastAsia="Palatino Linotype" w:hAnsi="Palatino Linotype" w:cs="Palatino Linotype"/>
          <w:color w:val="0000FF"/>
          <w:sz w:val="20"/>
          <w:szCs w:val="20"/>
        </w:rPr>
      </w:pPr>
      <w:hyperlink r:id="rId23">
        <w:r>
          <w:rPr>
            <w:b/>
            <w:bCs/>
            <w:color w:val="0000FF"/>
            <w:u w:val="single"/>
          </w:rPr>
          <w:t>kim.denapoli@turtlebeach.com</w:t>
        </w:r>
      </w:hyperlink>
    </w:p>
    <w:p w14:paraId="56F62F00" w14:textId="77777777" w:rsidR="00466DC1" w:rsidRDefault="00466DC1"/>
    <w:sectPr w:rsidR="00466DC1">
      <w:headerReference w:type="default" r:id="rId24"/>
      <w:pgSz w:w="11906" w:h="16838"/>
      <w:pgMar w:top="1440" w:right="1440" w:bottom="1440" w:left="1440" w:header="14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963D0F" w14:textId="77777777" w:rsidR="00972036" w:rsidRDefault="00972036">
      <w:pPr>
        <w:spacing w:after="0" w:line="240" w:lineRule="auto"/>
      </w:pPr>
      <w:r>
        <w:separator/>
      </w:r>
    </w:p>
  </w:endnote>
  <w:endnote w:type="continuationSeparator" w:id="0">
    <w:p w14:paraId="1BBE91BF" w14:textId="77777777" w:rsidR="00972036" w:rsidRDefault="0097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D3F73DA-1D49-1F41-AEE1-FE3CBDB2E6ED}"/>
    <w:embedBold r:id="rId2" w:fontKey="{7FDC8A50-1D69-7A42-9A4F-22F661CB911A}"/>
  </w:font>
  <w:font w:name="Play">
    <w:altName w:val="Calibri"/>
    <w:panose1 w:val="00000500000000000000"/>
    <w:charset w:val="00"/>
    <w:family w:val="auto"/>
    <w:pitch w:val="variable"/>
    <w:sig w:usb0="20000287" w:usb1="00000001" w:usb2="00000000" w:usb3="00000000" w:csb0="0000019F" w:csb1="00000000"/>
    <w:embedRegular r:id="rId3" w:fontKey="{81EE16F7-38CE-2E4A-9746-378C5E8DEAE3}"/>
  </w:font>
  <w:font w:name="Aptos">
    <w:panose1 w:val="020B0004020202020204"/>
    <w:charset w:val="00"/>
    <w:family w:val="swiss"/>
    <w:pitch w:val="variable"/>
    <w:sig w:usb0="20000287" w:usb1="00000003" w:usb2="00000000" w:usb3="00000000" w:csb0="0000019F" w:csb1="00000000"/>
    <w:embedRegular r:id="rId4" w:fontKey="{9218E244-55B1-BB40-B7A2-FA09CB1A0A16}"/>
    <w:embedItalic r:id="rId5" w:fontKey="{5CA0B475-B84C-2545-8520-8C6CFA4542E8}"/>
  </w:font>
  <w:font w:name="Times New Roman">
    <w:panose1 w:val="02020603050405020304"/>
    <w:charset w:val="00"/>
    <w:family w:val="roman"/>
    <w:pitch w:val="variable"/>
    <w:sig w:usb0="E0002EFF" w:usb1="C000785B" w:usb2="00000009" w:usb3="00000000" w:csb0="000001FF" w:csb1="00000000"/>
    <w:embedRegular r:id="rId6" w:fontKey="{40521079-338D-3242-8BFB-7FE307B5861A}"/>
  </w:font>
  <w:font w:name="Palatino Linotype">
    <w:panose1 w:val="02040502050505030304"/>
    <w:charset w:val="00"/>
    <w:family w:val="roman"/>
    <w:pitch w:val="variable"/>
    <w:sig w:usb0="E0000287" w:usb1="40000013" w:usb2="00000000" w:usb3="00000000" w:csb0="0000019F" w:csb1="00000000"/>
    <w:embedRegular r:id="rId7" w:fontKey="{920F22C5-FEEA-4D43-9AE9-4F12B814B49D}"/>
    <w:embedBold r:id="rId8" w:fontKey="{0CAD8DF9-0095-C040-9690-EB8AF0B85A8A}"/>
    <w:embedItalic r:id="rId9" w:fontKey="{D71E74E6-69DE-924E-839A-0080890825B5}"/>
    <w:embedBoldItalic r:id="rId10" w:fontKey="{41361BFB-C691-3C41-85ED-2AAFECB78F03}"/>
  </w:font>
  <w:font w:name="Cambria">
    <w:panose1 w:val="02040503050406030204"/>
    <w:charset w:val="00"/>
    <w:family w:val="roman"/>
    <w:pitch w:val="variable"/>
    <w:sig w:usb0="E00006FF" w:usb1="420024FF" w:usb2="02000000" w:usb3="00000000" w:csb0="0000019F" w:csb1="00000000"/>
    <w:embedRegular r:id="rId11" w:fontKey="{13347168-4D2B-154E-BC93-097BD06D5D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D460F" w14:textId="77777777" w:rsidR="00972036" w:rsidRDefault="00972036">
      <w:pPr>
        <w:spacing w:after="0" w:line="240" w:lineRule="auto"/>
      </w:pPr>
      <w:r>
        <w:separator/>
      </w:r>
    </w:p>
  </w:footnote>
  <w:footnote w:type="continuationSeparator" w:id="0">
    <w:p w14:paraId="119216D9" w14:textId="77777777" w:rsidR="00972036" w:rsidRDefault="00972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24E62F" w14:textId="77777777" w:rsidR="00466DC1" w:rsidRDefault="00466DC1">
    <w:pPr>
      <w:spacing w:after="0" w:line="240" w:lineRule="auto"/>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DC1"/>
    <w:rsid w:val="00271A39"/>
    <w:rsid w:val="00337C86"/>
    <w:rsid w:val="00466DC1"/>
    <w:rsid w:val="00972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34FD23"/>
  <w15:docId w15:val="{6C90251F-7D26-0F48-A4AC-5D6B529A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spacing w:before="360" w:after="80" w:line="240"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widowControl/>
      <w:spacing w:before="160" w:after="80" w:line="240"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widowControl/>
      <w:spacing w:before="160" w:after="80" w:line="240"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widowControl/>
      <w:spacing w:before="80" w:after="40" w:line="240" w:lineRule="auto"/>
      <w:outlineLvl w:val="3"/>
    </w:pPr>
    <w:rPr>
      <w:rFonts w:ascii="Aptos" w:eastAsia="Aptos" w:hAnsi="Aptos" w:cs="Aptos"/>
      <w:i/>
      <w:iCs/>
      <w:color w:val="0F4761"/>
      <w:sz w:val="24"/>
      <w:szCs w:val="24"/>
    </w:rPr>
  </w:style>
  <w:style w:type="paragraph" w:styleId="Heading5">
    <w:name w:val="heading 5"/>
    <w:basedOn w:val="Normal"/>
    <w:next w:val="Normal"/>
    <w:uiPriority w:val="9"/>
    <w:semiHidden/>
    <w:unhideWhenUsed/>
    <w:qFormat/>
    <w:pPr>
      <w:keepNext/>
      <w:keepLines/>
      <w:widowControl/>
      <w:spacing w:before="80" w:after="40" w:line="240" w:lineRule="auto"/>
      <w:outlineLvl w:val="4"/>
    </w:pPr>
    <w:rPr>
      <w:rFonts w:ascii="Aptos" w:eastAsia="Aptos" w:hAnsi="Aptos" w:cs="Aptos"/>
      <w:color w:val="0F4761"/>
      <w:sz w:val="24"/>
      <w:szCs w:val="24"/>
    </w:rPr>
  </w:style>
  <w:style w:type="paragraph" w:styleId="Heading6">
    <w:name w:val="heading 6"/>
    <w:basedOn w:val="Normal"/>
    <w:next w:val="Normal"/>
    <w:uiPriority w:val="9"/>
    <w:semiHidden/>
    <w:unhideWhenUsed/>
    <w:qFormat/>
    <w:pPr>
      <w:keepNext/>
      <w:keepLines/>
      <w:widowControl/>
      <w:spacing w:before="40" w:after="0" w:line="240" w:lineRule="auto"/>
      <w:outlineLvl w:val="5"/>
    </w:pPr>
    <w:rPr>
      <w:rFonts w:ascii="Aptos" w:eastAsia="Aptos" w:hAnsi="Aptos" w:cs="Aptos"/>
      <w:i/>
      <w:iCs/>
      <w:color w:val="5959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spacing w:after="80" w:line="240" w:lineRule="auto"/>
    </w:pPr>
    <w:rPr>
      <w:rFonts w:ascii="Play" w:eastAsia="Play" w:hAnsi="Play" w:cs="Play"/>
      <w:sz w:val="56"/>
      <w:szCs w:val="56"/>
    </w:rPr>
  </w:style>
  <w:style w:type="paragraph" w:styleId="Subtitle">
    <w:name w:val="Subtitle"/>
    <w:basedOn w:val="Normal"/>
    <w:next w:val="Normal"/>
    <w:uiPriority w:val="11"/>
    <w:qFormat/>
    <w:pPr>
      <w:widowControl/>
      <w:spacing w:line="240"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rp.turtlebeach.com/" TargetMode="External"/><Relationship Id="rId13" Type="http://schemas.openxmlformats.org/officeDocument/2006/relationships/hyperlink" Target="https://twitter.com/turtlebeach" TargetMode="External"/><Relationship Id="rId18" Type="http://schemas.openxmlformats.org/officeDocument/2006/relationships/hyperlink" Target="https://www.turtlebeach.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keith.hennessey@turtlebeach.com" TargetMode="External"/><Relationship Id="rId7" Type="http://schemas.openxmlformats.org/officeDocument/2006/relationships/hyperlink" Target="https://corp.turtlebeach.com/" TargetMode="External"/><Relationship Id="rId12" Type="http://schemas.openxmlformats.org/officeDocument/2006/relationships/hyperlink" Target="https://www.tiktok.com/@turtlebeach?lang=en" TargetMode="External"/><Relationship Id="rId17" Type="http://schemas.openxmlformats.org/officeDocument/2006/relationships/hyperlink" Target="https://corp.turtlebeach.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tube.com/user/TurtleBeachVideos" TargetMode="External"/><Relationship Id="rId20" Type="http://schemas.openxmlformats.org/officeDocument/2006/relationships/hyperlink" Target="mailto:eric@step-3.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turtlebeach.com/"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facebook.com/turtlebeach" TargetMode="External"/><Relationship Id="rId23" Type="http://schemas.openxmlformats.org/officeDocument/2006/relationships/hyperlink" Target="mailto:keith.hennessey@turtlebeach.com" TargetMode="External"/><Relationship Id="rId10" Type="http://schemas.openxmlformats.org/officeDocument/2006/relationships/hyperlink" Target="http://turtlebeach.com/products/vulcan-ii-xp-keyboard" TargetMode="External"/><Relationship Id="rId19" Type="http://schemas.openxmlformats.org/officeDocument/2006/relationships/hyperlink" Target="https://www.trustpilot.com/review/www.turtlebeach.com" TargetMode="External"/><Relationship Id="rId4" Type="http://schemas.openxmlformats.org/officeDocument/2006/relationships/footnotes" Target="footnotes.xml"/><Relationship Id="rId9" Type="http://schemas.openxmlformats.org/officeDocument/2006/relationships/hyperlink" Target="http://turtlebeach.com/products/vulcan-ii-xp-keyboard" TargetMode="External"/><Relationship Id="rId14" Type="http://schemas.openxmlformats.org/officeDocument/2006/relationships/hyperlink" Target="https://www.instagram.com/turtlebeach" TargetMode="External"/><Relationship Id="rId22" Type="http://schemas.openxmlformats.org/officeDocument/2006/relationships/hyperlink" Target="mailto:hear@icrinc.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1853</Words>
  <Characters>11548</Characters>
  <Application>Microsoft Office Word</Application>
  <DocSecurity>0</DocSecurity>
  <Lines>222</Lines>
  <Paragraphs>63</Paragraphs>
  <ScaleCrop>false</ScaleCrop>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 DeNapoli</cp:lastModifiedBy>
  <cp:revision>2</cp:revision>
  <dcterms:created xsi:type="dcterms:W3CDTF">2026-08-26T18:24:00Z</dcterms:created>
  <dcterms:modified xsi:type="dcterms:W3CDTF">2026-08-26T18:25:00Z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0x01010095322DABC00A5F408C9E94537A4C512E</vt:lpwstr>
  </property>
  <property fmtid="{D5CDD505-2E9C-101B-9397-08002B2CF9AE}" pid="3" name="docLang">
    <vt:lpwstr>en</vt:lpwstr>
  </property>
  <property fmtid="{D5CDD505-2E9C-101B-9397-08002B2CF9AE}" pid="4" name="MediaServiceImageTags">
    <vt:lpwstr>MediaServiceImageTags</vt:lpwstr>
  </property>
</Properties>
</file>