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1462" w14:textId="0CA0C7AB" w:rsidR="00DF1A13" w:rsidRPr="00F31093" w:rsidRDefault="00DF1A13">
      <w:pPr>
        <w:pStyle w:val="Title"/>
        <w:rPr>
          <w:rFonts w:ascii="Tahoma" w:hAnsi="Tahoma" w:cs="Tahoma"/>
          <w:sz w:val="22"/>
          <w:szCs w:val="22"/>
        </w:rPr>
      </w:pPr>
      <w:r w:rsidRPr="00F31093">
        <w:rPr>
          <w:rFonts w:ascii="Tahoma" w:hAnsi="Tahoma" w:cs="Tahoma"/>
          <w:sz w:val="22"/>
          <w:szCs w:val="22"/>
        </w:rPr>
        <w:t>HERITAGE FINANCIAL CORPORATION</w:t>
      </w:r>
    </w:p>
    <w:p w14:paraId="6B72FE4B" w14:textId="740172C9" w:rsidR="00DF1A13" w:rsidRPr="00F31093" w:rsidRDefault="00DF1A13">
      <w:pPr>
        <w:jc w:val="center"/>
        <w:rPr>
          <w:rFonts w:ascii="Tahoma" w:hAnsi="Tahoma" w:cs="Tahoma"/>
          <w:b/>
          <w:sz w:val="22"/>
          <w:szCs w:val="22"/>
        </w:rPr>
      </w:pPr>
      <w:r w:rsidRPr="00F31093">
        <w:rPr>
          <w:rFonts w:ascii="Tahoma" w:hAnsi="Tahoma" w:cs="Tahoma"/>
          <w:b/>
          <w:sz w:val="22"/>
          <w:szCs w:val="22"/>
        </w:rPr>
        <w:t>RISK</w:t>
      </w:r>
      <w:r w:rsidR="003E2324">
        <w:rPr>
          <w:rFonts w:ascii="Tahoma" w:hAnsi="Tahoma" w:cs="Tahoma"/>
          <w:b/>
          <w:sz w:val="22"/>
          <w:szCs w:val="22"/>
        </w:rPr>
        <w:t xml:space="preserve"> AND TECHNOLOGY</w:t>
      </w:r>
      <w:r w:rsidRPr="00F31093">
        <w:rPr>
          <w:rFonts w:ascii="Tahoma" w:hAnsi="Tahoma" w:cs="Tahoma"/>
          <w:b/>
          <w:sz w:val="22"/>
          <w:szCs w:val="22"/>
        </w:rPr>
        <w:t xml:space="preserve"> COMMITTEE CHARTER</w:t>
      </w:r>
    </w:p>
    <w:p w14:paraId="3592657A" w14:textId="77777777" w:rsidR="00B940EE" w:rsidRPr="00F31093" w:rsidRDefault="00B940EE">
      <w:pPr>
        <w:jc w:val="center"/>
        <w:rPr>
          <w:rFonts w:ascii="Tahoma" w:hAnsi="Tahoma" w:cs="Tahoma"/>
          <w:b/>
          <w:sz w:val="22"/>
          <w:szCs w:val="22"/>
        </w:rPr>
      </w:pPr>
    </w:p>
    <w:p w14:paraId="4C4BD841" w14:textId="213D3B32" w:rsidR="00B940EE" w:rsidRPr="00F31093" w:rsidRDefault="00B940EE">
      <w:pPr>
        <w:jc w:val="center"/>
        <w:rPr>
          <w:rFonts w:ascii="Tahoma" w:hAnsi="Tahoma" w:cs="Tahoma"/>
          <w:b/>
          <w:sz w:val="22"/>
          <w:szCs w:val="22"/>
        </w:rPr>
      </w:pPr>
      <w:r w:rsidRPr="00F31093">
        <w:rPr>
          <w:rFonts w:ascii="Tahoma" w:hAnsi="Tahoma" w:cs="Tahoma"/>
          <w:sz w:val="22"/>
          <w:szCs w:val="22"/>
        </w:rPr>
        <w:t xml:space="preserve">Effective </w:t>
      </w:r>
      <w:r w:rsidR="00C8586F">
        <w:rPr>
          <w:rFonts w:ascii="Tahoma" w:hAnsi="Tahoma" w:cs="Tahoma"/>
          <w:sz w:val="22"/>
          <w:szCs w:val="22"/>
        </w:rPr>
        <w:t>February 2</w:t>
      </w:r>
      <w:r w:rsidR="00A07135">
        <w:rPr>
          <w:rFonts w:ascii="Tahoma" w:hAnsi="Tahoma" w:cs="Tahoma"/>
          <w:sz w:val="22"/>
          <w:szCs w:val="22"/>
        </w:rPr>
        <w:t>5</w:t>
      </w:r>
      <w:r w:rsidR="00367F7F">
        <w:rPr>
          <w:rFonts w:ascii="Tahoma" w:hAnsi="Tahoma" w:cs="Tahoma"/>
          <w:sz w:val="22"/>
          <w:szCs w:val="22"/>
        </w:rPr>
        <w:t>, 20</w:t>
      </w:r>
      <w:r w:rsidR="00DF7163">
        <w:rPr>
          <w:rFonts w:ascii="Tahoma" w:hAnsi="Tahoma" w:cs="Tahoma"/>
          <w:sz w:val="22"/>
          <w:szCs w:val="22"/>
        </w:rPr>
        <w:t>2</w:t>
      </w:r>
      <w:r w:rsidR="00A75BFA">
        <w:rPr>
          <w:rFonts w:ascii="Tahoma" w:hAnsi="Tahoma" w:cs="Tahoma"/>
          <w:sz w:val="22"/>
          <w:szCs w:val="22"/>
        </w:rPr>
        <w:t>6</w:t>
      </w:r>
    </w:p>
    <w:p w14:paraId="14B414C6" w14:textId="77777777" w:rsidR="00DF1A13" w:rsidRPr="00F31093" w:rsidRDefault="00DF1A13">
      <w:pPr>
        <w:rPr>
          <w:rFonts w:ascii="Tahoma" w:hAnsi="Tahoma" w:cs="Tahoma"/>
          <w:sz w:val="22"/>
          <w:szCs w:val="22"/>
        </w:rPr>
      </w:pPr>
    </w:p>
    <w:p w14:paraId="5B8DBDA1" w14:textId="77777777" w:rsidR="00DF1A13" w:rsidRPr="00F31093" w:rsidRDefault="00DF1A13">
      <w:pPr>
        <w:rPr>
          <w:rFonts w:ascii="Tahoma" w:hAnsi="Tahoma" w:cs="Tahoma"/>
          <w:sz w:val="22"/>
          <w:szCs w:val="22"/>
        </w:rPr>
      </w:pPr>
    </w:p>
    <w:p w14:paraId="67B0B130" w14:textId="77777777" w:rsidR="00DF1A13" w:rsidRPr="00F31093" w:rsidRDefault="00DF1A13" w:rsidP="00B940EE">
      <w:pPr>
        <w:numPr>
          <w:ilvl w:val="0"/>
          <w:numId w:val="2"/>
        </w:numPr>
        <w:autoSpaceDE w:val="0"/>
        <w:autoSpaceDN w:val="0"/>
        <w:adjustRightInd w:val="0"/>
        <w:rPr>
          <w:rFonts w:ascii="Tahoma" w:hAnsi="Tahoma" w:cs="Tahoma"/>
          <w:sz w:val="22"/>
          <w:szCs w:val="22"/>
        </w:rPr>
      </w:pPr>
      <w:r w:rsidRPr="00F31093">
        <w:rPr>
          <w:rFonts w:ascii="Tahoma" w:hAnsi="Tahoma" w:cs="Tahoma"/>
          <w:b/>
          <w:bCs/>
          <w:sz w:val="22"/>
          <w:szCs w:val="22"/>
        </w:rPr>
        <w:t>Purpose of the Committee</w:t>
      </w:r>
    </w:p>
    <w:p w14:paraId="008A6744" w14:textId="77777777" w:rsidR="00DF1A13" w:rsidRPr="00F31093" w:rsidRDefault="00DF1A13">
      <w:pPr>
        <w:autoSpaceDE w:val="0"/>
        <w:autoSpaceDN w:val="0"/>
        <w:adjustRightInd w:val="0"/>
        <w:rPr>
          <w:rFonts w:ascii="Tahoma" w:hAnsi="Tahoma" w:cs="Tahoma"/>
          <w:sz w:val="22"/>
          <w:szCs w:val="22"/>
        </w:rPr>
      </w:pPr>
    </w:p>
    <w:p w14:paraId="58A85399" w14:textId="6ED20342" w:rsidR="00DF1A13" w:rsidRPr="00F31093" w:rsidRDefault="00DF1A13" w:rsidP="00FD2ECF">
      <w:pPr>
        <w:autoSpaceDE w:val="0"/>
        <w:autoSpaceDN w:val="0"/>
        <w:adjustRightInd w:val="0"/>
        <w:jc w:val="both"/>
        <w:rPr>
          <w:rFonts w:ascii="Tahoma" w:hAnsi="Tahoma" w:cs="Tahoma"/>
          <w:sz w:val="22"/>
          <w:szCs w:val="22"/>
        </w:rPr>
      </w:pPr>
      <w:r w:rsidRPr="00F31093">
        <w:rPr>
          <w:rFonts w:ascii="Tahoma" w:hAnsi="Tahoma" w:cs="Tahoma"/>
          <w:sz w:val="22"/>
          <w:szCs w:val="22"/>
        </w:rPr>
        <w:t xml:space="preserve">The purpose of the Risk Committee (“Committee”) is to assist the Board of Directors (“Board”) of Heritage Financial Corporation </w:t>
      </w:r>
      <w:r w:rsidR="00C73B2F" w:rsidRPr="00F31093">
        <w:rPr>
          <w:rFonts w:ascii="Tahoma" w:hAnsi="Tahoma" w:cs="Tahoma"/>
          <w:sz w:val="22"/>
          <w:szCs w:val="22"/>
        </w:rPr>
        <w:t xml:space="preserve">(“Company”) </w:t>
      </w:r>
      <w:r w:rsidRPr="00F31093">
        <w:rPr>
          <w:rFonts w:ascii="Tahoma" w:hAnsi="Tahoma" w:cs="Tahoma"/>
          <w:sz w:val="22"/>
          <w:szCs w:val="22"/>
        </w:rPr>
        <w:t xml:space="preserve">in </w:t>
      </w:r>
      <w:r w:rsidR="00B940EE" w:rsidRPr="00F31093">
        <w:rPr>
          <w:rFonts w:ascii="Tahoma" w:hAnsi="Tahoma" w:cs="Tahoma"/>
          <w:sz w:val="22"/>
          <w:szCs w:val="22"/>
        </w:rPr>
        <w:t xml:space="preserve">(a) </w:t>
      </w:r>
      <w:r w:rsidRPr="00F31093">
        <w:rPr>
          <w:rFonts w:ascii="Tahoma" w:hAnsi="Tahoma" w:cs="Tahoma"/>
          <w:sz w:val="22"/>
          <w:szCs w:val="22"/>
        </w:rPr>
        <w:t>discharging its oversight duties with respect to the risks inherent in the businesses of the Company and its subsidiaries (collectively, “Heritage”) in the following categories: credit risk, market and liquidity risk, operational risk</w:t>
      </w:r>
      <w:r w:rsidR="00314268">
        <w:rPr>
          <w:rFonts w:ascii="Tahoma" w:hAnsi="Tahoma" w:cs="Tahoma"/>
          <w:sz w:val="22"/>
          <w:szCs w:val="22"/>
        </w:rPr>
        <w:t>,</w:t>
      </w:r>
      <w:r w:rsidRPr="00F31093">
        <w:rPr>
          <w:rFonts w:ascii="Tahoma" w:hAnsi="Tahoma" w:cs="Tahoma"/>
          <w:sz w:val="22"/>
          <w:szCs w:val="22"/>
        </w:rPr>
        <w:t xml:space="preserve"> </w:t>
      </w:r>
      <w:r w:rsidR="00314268">
        <w:rPr>
          <w:rFonts w:ascii="Tahoma" w:hAnsi="Tahoma" w:cs="Tahoma"/>
          <w:sz w:val="22"/>
          <w:szCs w:val="22"/>
        </w:rPr>
        <w:t xml:space="preserve">environmental, social and governance risk, </w:t>
      </w:r>
      <w:r w:rsidRPr="00F31093">
        <w:rPr>
          <w:rFonts w:ascii="Tahoma" w:hAnsi="Tahoma" w:cs="Tahoma"/>
          <w:sz w:val="22"/>
          <w:szCs w:val="22"/>
        </w:rPr>
        <w:t>and the regulatory component of compliance risk</w:t>
      </w:r>
      <w:r w:rsidR="00B940EE" w:rsidRPr="00F31093">
        <w:rPr>
          <w:rFonts w:ascii="Tahoma" w:hAnsi="Tahoma" w:cs="Tahoma"/>
          <w:sz w:val="22"/>
          <w:szCs w:val="22"/>
        </w:rPr>
        <w:t>;</w:t>
      </w:r>
      <w:r w:rsidR="003E2324">
        <w:rPr>
          <w:rFonts w:ascii="Tahoma" w:hAnsi="Tahoma" w:cs="Tahoma"/>
          <w:sz w:val="22"/>
          <w:szCs w:val="22"/>
        </w:rPr>
        <w:t xml:space="preserve"> (b)</w:t>
      </w:r>
      <w:r w:rsidR="00B940EE" w:rsidRPr="00F31093">
        <w:rPr>
          <w:rFonts w:ascii="Tahoma" w:hAnsi="Tahoma" w:cs="Tahoma"/>
          <w:sz w:val="22"/>
          <w:szCs w:val="22"/>
        </w:rPr>
        <w:t xml:space="preserve"> </w:t>
      </w:r>
      <w:r w:rsidR="003E2324">
        <w:rPr>
          <w:rFonts w:ascii="Tahoma" w:hAnsi="Tahoma" w:cs="Tahoma"/>
          <w:sz w:val="22"/>
          <w:szCs w:val="22"/>
        </w:rPr>
        <w:t xml:space="preserve">providing oversight on the </w:t>
      </w:r>
      <w:r w:rsidR="00775906">
        <w:rPr>
          <w:rFonts w:ascii="Tahoma" w:hAnsi="Tahoma" w:cs="Tahoma"/>
          <w:sz w:val="22"/>
          <w:szCs w:val="22"/>
        </w:rPr>
        <w:t>management of risks associated with technology, including th</w:t>
      </w:r>
      <w:r w:rsidR="001410EF">
        <w:rPr>
          <w:rFonts w:ascii="Tahoma" w:hAnsi="Tahoma" w:cs="Tahoma"/>
          <w:sz w:val="22"/>
          <w:szCs w:val="22"/>
        </w:rPr>
        <w:t>ose associated with th</w:t>
      </w:r>
      <w:r w:rsidR="002D637A">
        <w:rPr>
          <w:rFonts w:ascii="Tahoma" w:hAnsi="Tahoma" w:cs="Tahoma"/>
          <w:sz w:val="22"/>
          <w:szCs w:val="22"/>
        </w:rPr>
        <w:t>e</w:t>
      </w:r>
      <w:r w:rsidR="00775906">
        <w:rPr>
          <w:rFonts w:ascii="Tahoma" w:hAnsi="Tahoma" w:cs="Tahoma"/>
          <w:sz w:val="22"/>
          <w:szCs w:val="22"/>
        </w:rPr>
        <w:t xml:space="preserve"> development of technology platforms and future technology strategies</w:t>
      </w:r>
      <w:r w:rsidR="003E2324">
        <w:rPr>
          <w:rFonts w:ascii="Tahoma" w:hAnsi="Tahoma" w:cs="Tahoma"/>
          <w:sz w:val="22"/>
          <w:szCs w:val="22"/>
        </w:rPr>
        <w:t xml:space="preserve">; </w:t>
      </w:r>
      <w:r w:rsidR="00B940EE" w:rsidRPr="00F31093">
        <w:rPr>
          <w:rFonts w:ascii="Tahoma" w:hAnsi="Tahoma" w:cs="Tahoma"/>
          <w:sz w:val="22"/>
          <w:szCs w:val="22"/>
        </w:rPr>
        <w:t>and (</w:t>
      </w:r>
      <w:r w:rsidR="003E2324">
        <w:rPr>
          <w:rFonts w:ascii="Tahoma" w:hAnsi="Tahoma" w:cs="Tahoma"/>
          <w:sz w:val="22"/>
          <w:szCs w:val="22"/>
        </w:rPr>
        <w:t>c</w:t>
      </w:r>
      <w:r w:rsidR="00B940EE" w:rsidRPr="00F31093">
        <w:rPr>
          <w:rFonts w:ascii="Tahoma" w:hAnsi="Tahoma" w:cs="Tahoma"/>
          <w:sz w:val="22"/>
          <w:szCs w:val="22"/>
        </w:rPr>
        <w:t>) promoting a culture that encourages ethical conduct and compliance with applicable rules and standards</w:t>
      </w:r>
      <w:r w:rsidRPr="00F31093">
        <w:rPr>
          <w:rFonts w:ascii="Tahoma" w:hAnsi="Tahoma" w:cs="Tahoma"/>
          <w:sz w:val="22"/>
          <w:szCs w:val="22"/>
        </w:rPr>
        <w:t xml:space="preserve">.  Attached to this </w:t>
      </w:r>
      <w:r w:rsidR="00331333" w:rsidRPr="00F31093">
        <w:rPr>
          <w:rFonts w:ascii="Tahoma" w:hAnsi="Tahoma" w:cs="Tahoma"/>
          <w:sz w:val="22"/>
          <w:szCs w:val="22"/>
        </w:rPr>
        <w:t xml:space="preserve">Risk Committee </w:t>
      </w:r>
      <w:r w:rsidRPr="00F31093">
        <w:rPr>
          <w:rFonts w:ascii="Tahoma" w:hAnsi="Tahoma" w:cs="Tahoma"/>
          <w:sz w:val="22"/>
          <w:szCs w:val="22"/>
        </w:rPr>
        <w:t>Charter</w:t>
      </w:r>
      <w:r w:rsidR="00331333" w:rsidRPr="00F31093">
        <w:rPr>
          <w:rFonts w:ascii="Tahoma" w:hAnsi="Tahoma" w:cs="Tahoma"/>
          <w:sz w:val="22"/>
          <w:szCs w:val="22"/>
        </w:rPr>
        <w:t xml:space="preserve"> (“Charter”)</w:t>
      </w:r>
      <w:r w:rsidRPr="00F31093">
        <w:rPr>
          <w:rFonts w:ascii="Tahoma" w:hAnsi="Tahoma" w:cs="Tahoma"/>
          <w:sz w:val="22"/>
          <w:szCs w:val="22"/>
        </w:rPr>
        <w:t xml:space="preserve"> are the definitions of risk categories used in the management of risk for Heritage.</w:t>
      </w:r>
    </w:p>
    <w:p w14:paraId="4C9C01C1" w14:textId="77777777" w:rsidR="00DF1A13" w:rsidRPr="00F31093" w:rsidRDefault="00DF1A13">
      <w:pPr>
        <w:rPr>
          <w:rFonts w:ascii="Tahoma" w:hAnsi="Tahoma" w:cs="Tahoma"/>
          <w:sz w:val="22"/>
          <w:szCs w:val="22"/>
        </w:rPr>
      </w:pPr>
    </w:p>
    <w:p w14:paraId="17FC2102" w14:textId="77777777" w:rsidR="00DF1A13" w:rsidRPr="00F31093" w:rsidRDefault="00DF1A13" w:rsidP="009F7849">
      <w:pPr>
        <w:numPr>
          <w:ilvl w:val="0"/>
          <w:numId w:val="2"/>
        </w:numPr>
        <w:autoSpaceDE w:val="0"/>
        <w:autoSpaceDN w:val="0"/>
        <w:adjustRightInd w:val="0"/>
        <w:rPr>
          <w:rFonts w:ascii="Tahoma" w:hAnsi="Tahoma" w:cs="Tahoma"/>
          <w:sz w:val="22"/>
          <w:szCs w:val="22"/>
        </w:rPr>
      </w:pPr>
      <w:r w:rsidRPr="00F31093">
        <w:rPr>
          <w:rFonts w:ascii="Tahoma" w:hAnsi="Tahoma" w:cs="Tahoma"/>
          <w:b/>
          <w:bCs/>
          <w:sz w:val="22"/>
          <w:szCs w:val="22"/>
        </w:rPr>
        <w:t>Committee Membership</w:t>
      </w:r>
    </w:p>
    <w:p w14:paraId="3E8AFFAD" w14:textId="77777777" w:rsidR="00DF1A13" w:rsidRPr="00F31093" w:rsidRDefault="00DF1A13">
      <w:pPr>
        <w:autoSpaceDE w:val="0"/>
        <w:autoSpaceDN w:val="0"/>
        <w:adjustRightInd w:val="0"/>
        <w:rPr>
          <w:rFonts w:ascii="Tahoma" w:hAnsi="Tahoma" w:cs="Tahoma"/>
          <w:sz w:val="22"/>
          <w:szCs w:val="22"/>
        </w:rPr>
      </w:pPr>
    </w:p>
    <w:p w14:paraId="757F614B" w14:textId="77777777" w:rsidR="00DF1A13" w:rsidRPr="00F31093" w:rsidRDefault="00DF1A13" w:rsidP="00FD2ECF">
      <w:pPr>
        <w:autoSpaceDE w:val="0"/>
        <w:autoSpaceDN w:val="0"/>
        <w:adjustRightInd w:val="0"/>
        <w:jc w:val="both"/>
        <w:rPr>
          <w:rFonts w:ascii="Tahoma" w:hAnsi="Tahoma" w:cs="Tahoma"/>
          <w:sz w:val="22"/>
          <w:szCs w:val="22"/>
        </w:rPr>
      </w:pPr>
      <w:r w:rsidRPr="00F31093">
        <w:rPr>
          <w:rFonts w:ascii="Tahoma" w:hAnsi="Tahoma" w:cs="Tahoma"/>
          <w:sz w:val="22"/>
          <w:szCs w:val="22"/>
        </w:rPr>
        <w:t>The Committee shall consist of at least four directors with a majority of the committee members to be non-employees of Heritage. The Committee’s membership shall be such that, in the judgment of the Board, it shall have the experience, expertise and judgment necessary to evaluate the information presented to the Committee by management and others with respect to the risk categories within the Committee’s mandate as set forth in this Charter.</w:t>
      </w:r>
    </w:p>
    <w:p w14:paraId="32C46518" w14:textId="77777777" w:rsidR="00DF1A13" w:rsidRPr="00F31093" w:rsidRDefault="00DF1A13" w:rsidP="00FD2ECF">
      <w:pPr>
        <w:autoSpaceDE w:val="0"/>
        <w:autoSpaceDN w:val="0"/>
        <w:adjustRightInd w:val="0"/>
        <w:jc w:val="both"/>
        <w:rPr>
          <w:rFonts w:ascii="Tahoma" w:hAnsi="Tahoma" w:cs="Tahoma"/>
          <w:sz w:val="22"/>
          <w:szCs w:val="22"/>
        </w:rPr>
      </w:pPr>
    </w:p>
    <w:p w14:paraId="33672475" w14:textId="77777777" w:rsidR="00DF1A13" w:rsidRPr="00F31093" w:rsidRDefault="00DF1A13" w:rsidP="00FD2ECF">
      <w:pPr>
        <w:autoSpaceDE w:val="0"/>
        <w:autoSpaceDN w:val="0"/>
        <w:adjustRightInd w:val="0"/>
        <w:jc w:val="both"/>
        <w:rPr>
          <w:rFonts w:ascii="Tahoma" w:hAnsi="Tahoma" w:cs="Tahoma"/>
          <w:sz w:val="22"/>
          <w:szCs w:val="22"/>
        </w:rPr>
      </w:pPr>
      <w:r w:rsidRPr="00F31093">
        <w:rPr>
          <w:rFonts w:ascii="Tahoma" w:hAnsi="Tahoma" w:cs="Tahoma"/>
          <w:sz w:val="22"/>
          <w:szCs w:val="22"/>
        </w:rPr>
        <w:t>The Board shall appoint the Committee members and the Chair of the Committee annually based on the recommendations of Heritage’s Governance and Nominating Committee. The Board may fill vacancies on the Committee and may remove a member from Committee membership at any time with or without cause.</w:t>
      </w:r>
      <w:r w:rsidR="005A5661" w:rsidRPr="00F31093">
        <w:rPr>
          <w:rFonts w:ascii="Tahoma" w:hAnsi="Tahoma" w:cs="Tahoma"/>
          <w:sz w:val="22"/>
          <w:szCs w:val="22"/>
        </w:rPr>
        <w:t xml:space="preserve"> </w:t>
      </w:r>
    </w:p>
    <w:p w14:paraId="16EE7512" w14:textId="77777777" w:rsidR="00DF1A13" w:rsidRDefault="00DF1A13">
      <w:pPr>
        <w:rPr>
          <w:rFonts w:ascii="Tahoma" w:hAnsi="Tahoma" w:cs="Tahoma"/>
          <w:sz w:val="22"/>
          <w:szCs w:val="22"/>
        </w:rPr>
      </w:pPr>
    </w:p>
    <w:p w14:paraId="550E01D7" w14:textId="77777777" w:rsidR="003918C5" w:rsidRPr="00F31093" w:rsidRDefault="003918C5">
      <w:pPr>
        <w:rPr>
          <w:rFonts w:ascii="Tahoma" w:hAnsi="Tahoma" w:cs="Tahoma"/>
          <w:sz w:val="22"/>
          <w:szCs w:val="22"/>
        </w:rPr>
      </w:pPr>
    </w:p>
    <w:p w14:paraId="156967D4" w14:textId="77777777" w:rsidR="00DF1A13" w:rsidRPr="00F31093" w:rsidRDefault="00DF1A13" w:rsidP="00E95BD0">
      <w:pPr>
        <w:numPr>
          <w:ilvl w:val="0"/>
          <w:numId w:val="2"/>
        </w:numPr>
        <w:rPr>
          <w:rFonts w:ascii="Tahoma" w:hAnsi="Tahoma" w:cs="Tahoma"/>
          <w:b/>
          <w:bCs/>
          <w:sz w:val="22"/>
          <w:szCs w:val="22"/>
        </w:rPr>
      </w:pPr>
      <w:r w:rsidRPr="00F31093">
        <w:rPr>
          <w:rFonts w:ascii="Tahoma" w:hAnsi="Tahoma" w:cs="Tahoma"/>
          <w:b/>
          <w:bCs/>
          <w:sz w:val="22"/>
          <w:szCs w:val="22"/>
        </w:rPr>
        <w:t xml:space="preserve">Committee </w:t>
      </w:r>
      <w:r w:rsidR="00117307" w:rsidRPr="00F31093">
        <w:rPr>
          <w:rFonts w:ascii="Tahoma" w:hAnsi="Tahoma" w:cs="Tahoma"/>
          <w:b/>
          <w:bCs/>
          <w:sz w:val="22"/>
          <w:szCs w:val="22"/>
        </w:rPr>
        <w:t xml:space="preserve">Structure and Operations </w:t>
      </w:r>
    </w:p>
    <w:p w14:paraId="07C0F7E0" w14:textId="77777777" w:rsidR="00117307" w:rsidRPr="00F31093" w:rsidRDefault="00117307">
      <w:pPr>
        <w:pStyle w:val="NormalWeb"/>
        <w:spacing w:before="0" w:beforeAutospacing="0" w:after="0" w:afterAutospacing="0"/>
        <w:rPr>
          <w:rFonts w:ascii="Tahoma" w:hAnsi="Tahoma" w:cs="Tahoma"/>
          <w:sz w:val="22"/>
          <w:szCs w:val="22"/>
        </w:rPr>
      </w:pPr>
    </w:p>
    <w:p w14:paraId="10F20746" w14:textId="77777777" w:rsidR="00117307" w:rsidRPr="00F31093" w:rsidRDefault="00117307" w:rsidP="00117307">
      <w:pPr>
        <w:pStyle w:val="NormalWeb"/>
        <w:numPr>
          <w:ilvl w:val="0"/>
          <w:numId w:val="3"/>
        </w:numPr>
        <w:spacing w:before="0" w:beforeAutospacing="0" w:after="0" w:afterAutospacing="0"/>
        <w:rPr>
          <w:rFonts w:ascii="Tahoma" w:hAnsi="Tahoma" w:cs="Tahoma"/>
          <w:b/>
          <w:sz w:val="22"/>
          <w:szCs w:val="22"/>
        </w:rPr>
      </w:pPr>
      <w:r w:rsidRPr="00F31093">
        <w:rPr>
          <w:rFonts w:ascii="Tahoma" w:hAnsi="Tahoma" w:cs="Tahoma"/>
          <w:b/>
          <w:sz w:val="22"/>
          <w:szCs w:val="22"/>
        </w:rPr>
        <w:t xml:space="preserve">Meetings </w:t>
      </w:r>
    </w:p>
    <w:p w14:paraId="300DB311" w14:textId="77777777" w:rsidR="00117307" w:rsidRPr="00F31093" w:rsidRDefault="00117307">
      <w:pPr>
        <w:pStyle w:val="NormalWeb"/>
        <w:spacing w:before="0" w:beforeAutospacing="0" w:after="0" w:afterAutospacing="0"/>
        <w:rPr>
          <w:rFonts w:ascii="Tahoma" w:hAnsi="Tahoma" w:cs="Tahoma"/>
          <w:sz w:val="22"/>
          <w:szCs w:val="22"/>
        </w:rPr>
      </w:pPr>
    </w:p>
    <w:p w14:paraId="189B5437" w14:textId="77777777" w:rsidR="00DF1A13" w:rsidRPr="00F31093" w:rsidRDefault="00DF1A13" w:rsidP="00FD2ECF">
      <w:pPr>
        <w:pStyle w:val="NormalWeb"/>
        <w:spacing w:before="0" w:beforeAutospacing="0" w:after="0" w:afterAutospacing="0"/>
        <w:jc w:val="both"/>
        <w:rPr>
          <w:rFonts w:ascii="Tahoma" w:hAnsi="Tahoma" w:cs="Tahoma"/>
          <w:sz w:val="22"/>
          <w:szCs w:val="22"/>
        </w:rPr>
      </w:pPr>
      <w:r w:rsidRPr="00F31093">
        <w:rPr>
          <w:rFonts w:ascii="Tahoma" w:hAnsi="Tahoma" w:cs="Tahoma"/>
          <w:sz w:val="22"/>
          <w:szCs w:val="22"/>
        </w:rPr>
        <w:t xml:space="preserve">The Committee shall meet </w:t>
      </w:r>
      <w:r w:rsidR="007633F3" w:rsidRPr="00F31093">
        <w:rPr>
          <w:rFonts w:ascii="Tahoma" w:hAnsi="Tahoma" w:cs="Tahoma"/>
          <w:sz w:val="22"/>
          <w:szCs w:val="22"/>
        </w:rPr>
        <w:t xml:space="preserve">in person or by telephone conference, videoconference or other means of communication permitted under Washington law </w:t>
      </w:r>
      <w:r w:rsidRPr="00F31093">
        <w:rPr>
          <w:rFonts w:ascii="Tahoma" w:hAnsi="Tahoma" w:cs="Tahoma"/>
          <w:sz w:val="22"/>
          <w:szCs w:val="22"/>
        </w:rPr>
        <w:t>at least quarterly</w:t>
      </w:r>
      <w:r w:rsidR="00C73B2F" w:rsidRPr="00F31093">
        <w:rPr>
          <w:rFonts w:ascii="Tahoma" w:hAnsi="Tahoma" w:cs="Tahoma"/>
          <w:sz w:val="22"/>
          <w:szCs w:val="22"/>
        </w:rPr>
        <w:t xml:space="preserve">.  Additional meetings may be held, or actions may be taken by unanimous written consent, as deemed necessary or appropriate by the Committee Chair or by any other member of the Committee.  </w:t>
      </w:r>
      <w:r w:rsidR="001C072E">
        <w:rPr>
          <w:rFonts w:ascii="Tahoma" w:hAnsi="Tahoma" w:cs="Tahoma"/>
          <w:sz w:val="22"/>
          <w:szCs w:val="22"/>
        </w:rPr>
        <w:t xml:space="preserve">The presence of a majority of the members of the Committee shall constitute a quorum for the transaction of business.  </w:t>
      </w:r>
      <w:r w:rsidR="00C73B2F" w:rsidRPr="00F31093">
        <w:rPr>
          <w:rFonts w:ascii="Tahoma" w:hAnsi="Tahoma" w:cs="Tahoma"/>
          <w:sz w:val="22"/>
          <w:szCs w:val="22"/>
        </w:rPr>
        <w:t>Minutes of each meeting shall be prepa</w:t>
      </w:r>
      <w:r w:rsidR="004D7531" w:rsidRPr="00F31093">
        <w:rPr>
          <w:rFonts w:ascii="Tahoma" w:hAnsi="Tahoma" w:cs="Tahoma"/>
          <w:sz w:val="22"/>
          <w:szCs w:val="22"/>
        </w:rPr>
        <w:t>red by the Secretary of the Company or such other person designated by the Committee Chair as Acting Secretary of the Committee and, when approved, shall be distributed to all</w:t>
      </w:r>
      <w:r w:rsidR="005A2582" w:rsidRPr="00F31093">
        <w:rPr>
          <w:rFonts w:ascii="Tahoma" w:hAnsi="Tahoma" w:cs="Tahoma"/>
          <w:sz w:val="22"/>
          <w:szCs w:val="22"/>
        </w:rPr>
        <w:t xml:space="preserve"> Board members. </w:t>
      </w:r>
    </w:p>
    <w:p w14:paraId="19FA8EEF" w14:textId="77777777" w:rsidR="005A2582" w:rsidRPr="00F31093" w:rsidRDefault="005A2582" w:rsidP="00FD2ECF">
      <w:pPr>
        <w:pStyle w:val="NormalWeb"/>
        <w:spacing w:before="0" w:beforeAutospacing="0" w:after="0" w:afterAutospacing="0"/>
        <w:jc w:val="both"/>
        <w:rPr>
          <w:rFonts w:ascii="Tahoma" w:hAnsi="Tahoma" w:cs="Tahoma"/>
          <w:sz w:val="22"/>
          <w:szCs w:val="22"/>
        </w:rPr>
      </w:pPr>
    </w:p>
    <w:p w14:paraId="3C4A2F35" w14:textId="77777777" w:rsidR="005A2582" w:rsidRPr="00F31093" w:rsidRDefault="005A2582" w:rsidP="00FD2ECF">
      <w:pPr>
        <w:pStyle w:val="NormalWeb"/>
        <w:spacing w:before="0" w:beforeAutospacing="0" w:after="0" w:afterAutospacing="0"/>
        <w:jc w:val="both"/>
        <w:rPr>
          <w:rFonts w:ascii="Tahoma" w:hAnsi="Tahoma" w:cs="Tahoma"/>
          <w:sz w:val="22"/>
          <w:szCs w:val="22"/>
        </w:rPr>
      </w:pPr>
      <w:r w:rsidRPr="00F31093">
        <w:rPr>
          <w:rFonts w:ascii="Tahoma" w:hAnsi="Tahoma" w:cs="Tahoma"/>
          <w:sz w:val="22"/>
          <w:szCs w:val="22"/>
        </w:rPr>
        <w:t xml:space="preserve">The Committee may meet with Heritage’s Chief Executive Officer, Chief Financial Officer, </w:t>
      </w:r>
      <w:r w:rsidR="004E7C2D">
        <w:rPr>
          <w:rFonts w:ascii="Tahoma" w:hAnsi="Tahoma" w:cs="Tahoma"/>
          <w:sz w:val="22"/>
          <w:szCs w:val="22"/>
        </w:rPr>
        <w:t>Chief Risk Officer,</w:t>
      </w:r>
      <w:r w:rsidR="0083107D">
        <w:rPr>
          <w:rFonts w:ascii="Tahoma" w:hAnsi="Tahoma" w:cs="Tahoma"/>
          <w:sz w:val="22"/>
          <w:szCs w:val="22"/>
        </w:rPr>
        <w:t xml:space="preserve"> and </w:t>
      </w:r>
      <w:r w:rsidR="004E7C2D">
        <w:rPr>
          <w:rFonts w:ascii="Tahoma" w:hAnsi="Tahoma" w:cs="Tahoma"/>
          <w:sz w:val="22"/>
          <w:szCs w:val="22"/>
        </w:rPr>
        <w:t xml:space="preserve">Regulatory and BSA/AML </w:t>
      </w:r>
      <w:r w:rsidRPr="00F31093">
        <w:rPr>
          <w:rFonts w:ascii="Tahoma" w:hAnsi="Tahoma" w:cs="Tahoma"/>
          <w:sz w:val="22"/>
          <w:szCs w:val="22"/>
        </w:rPr>
        <w:t>Compliance Officer</w:t>
      </w:r>
      <w:r w:rsidR="002F67FD" w:rsidRPr="00F31093">
        <w:rPr>
          <w:rFonts w:ascii="Tahoma" w:hAnsi="Tahoma" w:cs="Tahoma"/>
          <w:sz w:val="22"/>
          <w:szCs w:val="22"/>
        </w:rPr>
        <w:t>(s)</w:t>
      </w:r>
      <w:r w:rsidRPr="00F31093">
        <w:rPr>
          <w:rFonts w:ascii="Tahoma" w:hAnsi="Tahoma" w:cs="Tahoma"/>
          <w:sz w:val="22"/>
          <w:szCs w:val="22"/>
        </w:rPr>
        <w:t>, other members of management of Heritage, consultants or advisors as it may deem necessary or appropriate.</w:t>
      </w:r>
    </w:p>
    <w:p w14:paraId="0501C991" w14:textId="77777777" w:rsidR="001458DA" w:rsidRPr="00F31093" w:rsidRDefault="001458DA" w:rsidP="00FD2ECF">
      <w:pPr>
        <w:pStyle w:val="NormalWeb"/>
        <w:spacing w:before="0" w:beforeAutospacing="0" w:after="0" w:afterAutospacing="0"/>
        <w:jc w:val="both"/>
        <w:rPr>
          <w:rFonts w:ascii="Tahoma" w:hAnsi="Tahoma" w:cs="Tahoma"/>
          <w:sz w:val="22"/>
          <w:szCs w:val="22"/>
        </w:rPr>
      </w:pPr>
    </w:p>
    <w:p w14:paraId="309E73D4" w14:textId="77777777" w:rsidR="001458DA" w:rsidRPr="00F31093" w:rsidRDefault="001458DA" w:rsidP="00FD2ECF">
      <w:pPr>
        <w:pStyle w:val="NormalWeb"/>
        <w:spacing w:before="0" w:beforeAutospacing="0" w:after="0" w:afterAutospacing="0"/>
        <w:jc w:val="both"/>
        <w:rPr>
          <w:rFonts w:ascii="Tahoma" w:hAnsi="Tahoma" w:cs="Tahoma"/>
          <w:sz w:val="22"/>
          <w:szCs w:val="22"/>
        </w:rPr>
      </w:pPr>
      <w:r w:rsidRPr="00714D28">
        <w:rPr>
          <w:rFonts w:ascii="Tahoma" w:hAnsi="Tahoma" w:cs="Tahoma"/>
          <w:sz w:val="22"/>
          <w:szCs w:val="22"/>
        </w:rPr>
        <w:t>The Committee may hold joint and concurrent meetings with the Audit Committee from time to time for the purpose of (but not limited to) (</w:t>
      </w:r>
      <w:proofErr w:type="spellStart"/>
      <w:r w:rsidRPr="00714D28">
        <w:rPr>
          <w:rFonts w:ascii="Tahoma" w:hAnsi="Tahoma" w:cs="Tahoma"/>
          <w:sz w:val="22"/>
          <w:szCs w:val="22"/>
        </w:rPr>
        <w:t>i</w:t>
      </w:r>
      <w:proofErr w:type="spellEnd"/>
      <w:r w:rsidRPr="00714D28">
        <w:rPr>
          <w:rFonts w:ascii="Tahoma" w:hAnsi="Tahoma" w:cs="Tahoma"/>
          <w:sz w:val="22"/>
          <w:szCs w:val="22"/>
        </w:rPr>
        <w:t xml:space="preserve">) reviewing and discussing correspondence with, or other action taken by, state </w:t>
      </w:r>
      <w:r w:rsidR="0013287E" w:rsidRPr="00714D28">
        <w:rPr>
          <w:rFonts w:ascii="Tahoma" w:hAnsi="Tahoma" w:cs="Tahoma"/>
          <w:sz w:val="22"/>
          <w:szCs w:val="22"/>
        </w:rPr>
        <w:t>and federal regulators, or (ii) deliberating on matters relating to compliance with legal and regulatory requirements or the overall effectiveness of the risk management program.</w:t>
      </w:r>
    </w:p>
    <w:p w14:paraId="49CE4FAD" w14:textId="77777777" w:rsidR="00E3413C" w:rsidRPr="00F31093" w:rsidRDefault="00E3413C">
      <w:pPr>
        <w:pStyle w:val="NormalWeb"/>
        <w:spacing w:before="0" w:beforeAutospacing="0" w:after="0" w:afterAutospacing="0"/>
        <w:rPr>
          <w:rFonts w:ascii="Tahoma" w:hAnsi="Tahoma" w:cs="Tahoma"/>
          <w:sz w:val="22"/>
          <w:szCs w:val="22"/>
        </w:rPr>
      </w:pPr>
    </w:p>
    <w:p w14:paraId="0AD37A84" w14:textId="77777777" w:rsidR="00E3413C" w:rsidRPr="00F31093" w:rsidRDefault="00E3413C" w:rsidP="00E3413C">
      <w:pPr>
        <w:pStyle w:val="NormalWeb"/>
        <w:numPr>
          <w:ilvl w:val="0"/>
          <w:numId w:val="3"/>
        </w:numPr>
        <w:spacing w:before="0" w:beforeAutospacing="0" w:after="0" w:afterAutospacing="0"/>
        <w:rPr>
          <w:rFonts w:ascii="Tahoma" w:hAnsi="Tahoma" w:cs="Tahoma"/>
          <w:b/>
          <w:sz w:val="22"/>
          <w:szCs w:val="22"/>
        </w:rPr>
      </w:pPr>
      <w:r w:rsidRPr="00F31093">
        <w:rPr>
          <w:rFonts w:ascii="Tahoma" w:hAnsi="Tahoma" w:cs="Tahoma"/>
          <w:b/>
          <w:sz w:val="22"/>
          <w:szCs w:val="22"/>
        </w:rPr>
        <w:t>Resources</w:t>
      </w:r>
    </w:p>
    <w:p w14:paraId="6E0FC52F" w14:textId="77777777" w:rsidR="00E3413C" w:rsidRPr="00F31093" w:rsidRDefault="00E3413C" w:rsidP="00E3413C">
      <w:pPr>
        <w:pStyle w:val="NormalWeb"/>
        <w:spacing w:before="0" w:beforeAutospacing="0" w:after="0" w:afterAutospacing="0"/>
        <w:ind w:left="720"/>
        <w:rPr>
          <w:rFonts w:ascii="Tahoma" w:hAnsi="Tahoma" w:cs="Tahoma"/>
          <w:b/>
          <w:sz w:val="22"/>
          <w:szCs w:val="22"/>
        </w:rPr>
      </w:pPr>
    </w:p>
    <w:p w14:paraId="6E0C94DB" w14:textId="77777777" w:rsidR="00DF1A13" w:rsidRPr="00F31093" w:rsidRDefault="00E3413C" w:rsidP="00FD2ECF">
      <w:pPr>
        <w:jc w:val="both"/>
        <w:rPr>
          <w:rFonts w:ascii="Tahoma" w:hAnsi="Tahoma" w:cs="Tahoma"/>
          <w:sz w:val="22"/>
          <w:szCs w:val="22"/>
        </w:rPr>
      </w:pPr>
      <w:r w:rsidRPr="00F31093">
        <w:rPr>
          <w:rFonts w:ascii="Tahoma" w:hAnsi="Tahoma" w:cs="Tahoma"/>
          <w:sz w:val="22"/>
          <w:szCs w:val="22"/>
        </w:rPr>
        <w:t>The Committee shall have the resources and authority appropriate to discharge its duties and responsibilities.  In particular, the Committee shall have direct</w:t>
      </w:r>
      <w:r w:rsidR="00A43E99" w:rsidRPr="00F31093">
        <w:rPr>
          <w:rFonts w:ascii="Tahoma" w:hAnsi="Tahoma" w:cs="Tahoma"/>
          <w:sz w:val="22"/>
          <w:szCs w:val="22"/>
        </w:rPr>
        <w:t xml:space="preserve"> and unrestricted access to Heritage’s management and non-management personnel and all corporate records; it shall have authority to select, retain and terminate the engagement of any consultant in connection with the performance of its duties and to approve the terms of the engagement including the fees to be paid to the consultant; and it shall have the authority to obtain advice and assistance from legal, accounting or other advisors.</w:t>
      </w:r>
    </w:p>
    <w:p w14:paraId="73B78E44" w14:textId="77777777" w:rsidR="00A43E99" w:rsidRPr="00F31093" w:rsidRDefault="00A43E99">
      <w:pPr>
        <w:rPr>
          <w:rFonts w:ascii="Tahoma" w:hAnsi="Tahoma" w:cs="Tahoma"/>
          <w:sz w:val="22"/>
          <w:szCs w:val="22"/>
        </w:rPr>
      </w:pPr>
    </w:p>
    <w:p w14:paraId="63D9B884" w14:textId="77777777" w:rsidR="00E3413C" w:rsidRPr="00F31093" w:rsidRDefault="00E3413C">
      <w:pPr>
        <w:rPr>
          <w:rFonts w:ascii="Tahoma" w:hAnsi="Tahoma" w:cs="Tahoma"/>
          <w:sz w:val="22"/>
          <w:szCs w:val="22"/>
        </w:rPr>
      </w:pPr>
    </w:p>
    <w:p w14:paraId="32889CDC" w14:textId="77777777" w:rsidR="00DF1A13" w:rsidRPr="00F31093" w:rsidRDefault="00DF1A13" w:rsidP="00E95BD0">
      <w:pPr>
        <w:numPr>
          <w:ilvl w:val="0"/>
          <w:numId w:val="2"/>
        </w:numPr>
        <w:autoSpaceDE w:val="0"/>
        <w:autoSpaceDN w:val="0"/>
        <w:adjustRightInd w:val="0"/>
        <w:rPr>
          <w:rFonts w:ascii="Tahoma" w:hAnsi="Tahoma" w:cs="Tahoma"/>
          <w:sz w:val="22"/>
          <w:szCs w:val="22"/>
        </w:rPr>
      </w:pPr>
      <w:r w:rsidRPr="00F31093">
        <w:rPr>
          <w:rFonts w:ascii="Tahoma" w:hAnsi="Tahoma" w:cs="Tahoma"/>
          <w:b/>
          <w:bCs/>
          <w:sz w:val="22"/>
          <w:szCs w:val="22"/>
        </w:rPr>
        <w:t>Duties and Responsibilities of the Committee</w:t>
      </w:r>
      <w:r w:rsidRPr="00F31093">
        <w:rPr>
          <w:rFonts w:ascii="Tahoma" w:hAnsi="Tahoma" w:cs="Tahoma"/>
          <w:sz w:val="22"/>
          <w:szCs w:val="22"/>
        </w:rPr>
        <w:t xml:space="preserve"> </w:t>
      </w:r>
    </w:p>
    <w:p w14:paraId="3DF675E5" w14:textId="77777777" w:rsidR="00DF1A13" w:rsidRPr="00F31093" w:rsidRDefault="00DF1A13">
      <w:pPr>
        <w:autoSpaceDE w:val="0"/>
        <w:autoSpaceDN w:val="0"/>
        <w:adjustRightInd w:val="0"/>
        <w:rPr>
          <w:rFonts w:ascii="Tahoma" w:hAnsi="Tahoma" w:cs="Tahoma"/>
          <w:sz w:val="22"/>
          <w:szCs w:val="22"/>
        </w:rPr>
      </w:pPr>
    </w:p>
    <w:p w14:paraId="3315A118" w14:textId="77777777" w:rsidR="00DF1A13" w:rsidRPr="00F31093" w:rsidRDefault="00DF1A13" w:rsidP="00FD2ECF">
      <w:pPr>
        <w:autoSpaceDE w:val="0"/>
        <w:autoSpaceDN w:val="0"/>
        <w:adjustRightInd w:val="0"/>
        <w:jc w:val="both"/>
        <w:rPr>
          <w:rFonts w:ascii="Tahoma" w:hAnsi="Tahoma" w:cs="Tahoma"/>
          <w:sz w:val="22"/>
          <w:szCs w:val="22"/>
        </w:rPr>
      </w:pPr>
      <w:r w:rsidRPr="00F31093">
        <w:rPr>
          <w:rFonts w:ascii="Tahoma" w:hAnsi="Tahoma" w:cs="Tahoma"/>
          <w:sz w:val="22"/>
          <w:szCs w:val="22"/>
        </w:rPr>
        <w:t xml:space="preserve">The Committee’s responsibility is one of oversight. The responsibility for regulatory compliance and for the management of </w:t>
      </w:r>
      <w:r w:rsidR="00891F9B" w:rsidRPr="00F31093">
        <w:rPr>
          <w:rFonts w:ascii="Tahoma" w:hAnsi="Tahoma" w:cs="Tahoma"/>
          <w:sz w:val="22"/>
          <w:szCs w:val="22"/>
        </w:rPr>
        <w:t xml:space="preserve">other </w:t>
      </w:r>
      <w:r w:rsidRPr="00F31093">
        <w:rPr>
          <w:rFonts w:ascii="Tahoma" w:hAnsi="Tahoma" w:cs="Tahoma"/>
          <w:sz w:val="22"/>
          <w:szCs w:val="22"/>
        </w:rPr>
        <w:t>risks in Heritage’s businesses rests with the management of Heritage. In fulfilling their responsibilities hereunder, it is recognized that members of the Committee are not and do not represent themselves to be, risk management or compliance professionals.</w:t>
      </w:r>
      <w:r w:rsidR="00891F9B" w:rsidRPr="00F31093">
        <w:rPr>
          <w:rFonts w:ascii="Tahoma" w:hAnsi="Tahoma" w:cs="Tahoma"/>
          <w:sz w:val="22"/>
          <w:szCs w:val="22"/>
        </w:rPr>
        <w:t xml:space="preserve">  Each member of the Committee shall be entitled to rely in good faith on (</w:t>
      </w:r>
      <w:proofErr w:type="spellStart"/>
      <w:r w:rsidR="00891F9B" w:rsidRPr="00F31093">
        <w:rPr>
          <w:rFonts w:ascii="Tahoma" w:hAnsi="Tahoma" w:cs="Tahoma"/>
          <w:sz w:val="22"/>
          <w:szCs w:val="22"/>
        </w:rPr>
        <w:t>i</w:t>
      </w:r>
      <w:proofErr w:type="spellEnd"/>
      <w:r w:rsidR="00891F9B" w:rsidRPr="00F31093">
        <w:rPr>
          <w:rFonts w:ascii="Tahoma" w:hAnsi="Tahoma" w:cs="Tahoma"/>
          <w:sz w:val="22"/>
          <w:szCs w:val="22"/>
        </w:rPr>
        <w:t>) the integrity of th</w:t>
      </w:r>
      <w:r w:rsidR="007E52D9" w:rsidRPr="00F31093">
        <w:rPr>
          <w:rFonts w:ascii="Tahoma" w:hAnsi="Tahoma" w:cs="Tahoma"/>
          <w:sz w:val="22"/>
          <w:szCs w:val="22"/>
        </w:rPr>
        <w:t>ose persons and organizations within and outside Heritage from which he or she receives information, and (ii) the accuracy of the information provided to the Committee by such</w:t>
      </w:r>
      <w:r w:rsidR="00585A24" w:rsidRPr="00F31093">
        <w:rPr>
          <w:rFonts w:ascii="Tahoma" w:hAnsi="Tahoma" w:cs="Tahoma"/>
          <w:sz w:val="22"/>
          <w:szCs w:val="22"/>
        </w:rPr>
        <w:t xml:space="preserve"> persons or organizations absent actual knowledge to the contrary (which shall be promptly report</w:t>
      </w:r>
      <w:r w:rsidR="00B21EE7" w:rsidRPr="00F31093">
        <w:rPr>
          <w:rFonts w:ascii="Tahoma" w:hAnsi="Tahoma" w:cs="Tahoma"/>
          <w:sz w:val="22"/>
          <w:szCs w:val="22"/>
        </w:rPr>
        <w:t>ed</w:t>
      </w:r>
      <w:r w:rsidR="00585A24" w:rsidRPr="00F31093">
        <w:rPr>
          <w:rFonts w:ascii="Tahoma" w:hAnsi="Tahoma" w:cs="Tahoma"/>
          <w:sz w:val="22"/>
          <w:szCs w:val="22"/>
        </w:rPr>
        <w:t xml:space="preserve"> to the Board).</w:t>
      </w:r>
    </w:p>
    <w:p w14:paraId="5FD1D375" w14:textId="77777777" w:rsidR="00DF1A13" w:rsidRPr="00F31093" w:rsidRDefault="00DF1A13">
      <w:pPr>
        <w:rPr>
          <w:rFonts w:ascii="Tahoma" w:hAnsi="Tahoma" w:cs="Tahoma"/>
          <w:b/>
          <w:bCs/>
          <w:sz w:val="22"/>
          <w:szCs w:val="22"/>
        </w:rPr>
      </w:pPr>
    </w:p>
    <w:p w14:paraId="0FAA231F" w14:textId="77777777" w:rsidR="00DF1A13" w:rsidRPr="00F31093" w:rsidRDefault="00DF1A13" w:rsidP="00FD2ECF">
      <w:pPr>
        <w:autoSpaceDE w:val="0"/>
        <w:autoSpaceDN w:val="0"/>
        <w:adjustRightInd w:val="0"/>
        <w:jc w:val="both"/>
        <w:rPr>
          <w:rFonts w:ascii="Tahoma" w:hAnsi="Tahoma" w:cs="Tahoma"/>
          <w:sz w:val="22"/>
          <w:szCs w:val="22"/>
        </w:rPr>
      </w:pPr>
      <w:r w:rsidRPr="00F31093">
        <w:rPr>
          <w:rFonts w:ascii="Tahoma" w:hAnsi="Tahoma" w:cs="Tahoma"/>
          <w:sz w:val="22"/>
          <w:szCs w:val="22"/>
        </w:rPr>
        <w:t>The Committee shall perform the following oversight functions for Heritage and such other duties and responsibilities as are delegated to it by the Board:</w:t>
      </w:r>
    </w:p>
    <w:p w14:paraId="0D121A28" w14:textId="77777777" w:rsidR="00DF1A13" w:rsidRPr="00F31093" w:rsidRDefault="00DF1A13">
      <w:pPr>
        <w:autoSpaceDE w:val="0"/>
        <w:autoSpaceDN w:val="0"/>
        <w:adjustRightInd w:val="0"/>
        <w:rPr>
          <w:rFonts w:ascii="Tahoma" w:hAnsi="Tahoma" w:cs="Tahoma"/>
          <w:b/>
          <w:bCs/>
          <w:sz w:val="22"/>
          <w:szCs w:val="22"/>
        </w:rPr>
      </w:pPr>
    </w:p>
    <w:p w14:paraId="0A82255C" w14:textId="5727752E" w:rsidR="00DF1A13" w:rsidRDefault="00DF1A13" w:rsidP="00256BD3">
      <w:pPr>
        <w:pStyle w:val="BodyTextIndent"/>
        <w:numPr>
          <w:ilvl w:val="0"/>
          <w:numId w:val="1"/>
        </w:numPr>
        <w:spacing w:before="120" w:after="120"/>
        <w:jc w:val="both"/>
        <w:rPr>
          <w:sz w:val="22"/>
          <w:szCs w:val="22"/>
        </w:rPr>
      </w:pPr>
      <w:r w:rsidRPr="00F31093">
        <w:rPr>
          <w:sz w:val="22"/>
          <w:szCs w:val="22"/>
        </w:rPr>
        <w:t xml:space="preserve">Review and discuss with management reports with respect to the risk exposures of Heritage, and management’s procedures for </w:t>
      </w:r>
      <w:r w:rsidR="00B511A8" w:rsidRPr="00F31093">
        <w:rPr>
          <w:sz w:val="22"/>
          <w:szCs w:val="22"/>
        </w:rPr>
        <w:t xml:space="preserve">identifying, assessing, </w:t>
      </w:r>
      <w:r w:rsidRPr="00F31093">
        <w:rPr>
          <w:sz w:val="22"/>
          <w:szCs w:val="22"/>
        </w:rPr>
        <w:t xml:space="preserve">monitoring, controlling </w:t>
      </w:r>
      <w:r w:rsidR="00B511A8" w:rsidRPr="00F31093">
        <w:rPr>
          <w:sz w:val="22"/>
          <w:szCs w:val="22"/>
        </w:rPr>
        <w:t xml:space="preserve">measuring </w:t>
      </w:r>
      <w:r w:rsidRPr="00F31093">
        <w:rPr>
          <w:sz w:val="22"/>
          <w:szCs w:val="22"/>
        </w:rPr>
        <w:t xml:space="preserve">and reporting such </w:t>
      </w:r>
      <w:r w:rsidR="00B511A8" w:rsidRPr="00F31093">
        <w:rPr>
          <w:sz w:val="22"/>
          <w:szCs w:val="22"/>
        </w:rPr>
        <w:t xml:space="preserve">risk </w:t>
      </w:r>
      <w:r w:rsidRPr="00F31093">
        <w:rPr>
          <w:sz w:val="22"/>
          <w:szCs w:val="22"/>
        </w:rPr>
        <w:t>exposures.</w:t>
      </w:r>
    </w:p>
    <w:p w14:paraId="47FD5C40" w14:textId="1FC74027" w:rsidR="00E85EED" w:rsidRDefault="00E85EED" w:rsidP="00256BD3">
      <w:pPr>
        <w:pStyle w:val="BodyTextIndent"/>
        <w:numPr>
          <w:ilvl w:val="0"/>
          <w:numId w:val="1"/>
        </w:numPr>
        <w:spacing w:before="120" w:after="120"/>
        <w:jc w:val="both"/>
        <w:rPr>
          <w:sz w:val="22"/>
          <w:szCs w:val="22"/>
        </w:rPr>
      </w:pPr>
      <w:r>
        <w:rPr>
          <w:sz w:val="22"/>
          <w:szCs w:val="22"/>
        </w:rPr>
        <w:t>Review and discuss with management reports with respect to the Company’s technology risks</w:t>
      </w:r>
      <w:r w:rsidR="00775906">
        <w:rPr>
          <w:sz w:val="22"/>
          <w:szCs w:val="22"/>
        </w:rPr>
        <w:t>, including technology strategies and development,</w:t>
      </w:r>
      <w:r>
        <w:rPr>
          <w:sz w:val="22"/>
          <w:szCs w:val="22"/>
        </w:rPr>
        <w:t xml:space="preserve"> and their remediation. </w:t>
      </w:r>
    </w:p>
    <w:p w14:paraId="3DDFF012" w14:textId="7FD5CBEE" w:rsidR="00DF1A13" w:rsidRPr="00F31093" w:rsidRDefault="00DF1A13" w:rsidP="00256BD3">
      <w:pPr>
        <w:pStyle w:val="BodyTextIndent"/>
        <w:numPr>
          <w:ilvl w:val="0"/>
          <w:numId w:val="1"/>
        </w:numPr>
        <w:spacing w:before="120" w:after="120"/>
        <w:jc w:val="both"/>
        <w:rPr>
          <w:sz w:val="22"/>
          <w:szCs w:val="22"/>
        </w:rPr>
      </w:pPr>
      <w:r w:rsidRPr="00F31093">
        <w:rPr>
          <w:sz w:val="22"/>
          <w:szCs w:val="22"/>
        </w:rPr>
        <w:t xml:space="preserve">Review and recommend for approval to the </w:t>
      </w:r>
      <w:r w:rsidR="00B511A8" w:rsidRPr="00F31093">
        <w:rPr>
          <w:sz w:val="22"/>
          <w:szCs w:val="22"/>
        </w:rPr>
        <w:t>B</w:t>
      </w:r>
      <w:r w:rsidRPr="00F31093">
        <w:rPr>
          <w:sz w:val="22"/>
          <w:szCs w:val="22"/>
        </w:rPr>
        <w:t xml:space="preserve">oard, proposed policies and proposed changes in policies with respect to management of the risks within </w:t>
      </w:r>
      <w:r w:rsidRPr="00F31093">
        <w:rPr>
          <w:sz w:val="22"/>
          <w:szCs w:val="22"/>
        </w:rPr>
        <w:lastRenderedPageBreak/>
        <w:t>the Committee’s mandate including, where appropriate, limits or guidelines reflecting Heritage’s risk tolerance in particular areas.</w:t>
      </w:r>
    </w:p>
    <w:p w14:paraId="5309BE7A" w14:textId="77777777" w:rsidR="00251D4E" w:rsidRPr="00F31093" w:rsidRDefault="00DF1A13" w:rsidP="00256BD3">
      <w:pPr>
        <w:pStyle w:val="BodyTextIndent"/>
        <w:numPr>
          <w:ilvl w:val="0"/>
          <w:numId w:val="1"/>
        </w:numPr>
        <w:spacing w:before="120" w:after="120"/>
        <w:jc w:val="both"/>
        <w:rPr>
          <w:sz w:val="22"/>
          <w:szCs w:val="22"/>
        </w:rPr>
      </w:pPr>
      <w:r w:rsidRPr="00F31093">
        <w:rPr>
          <w:sz w:val="22"/>
          <w:szCs w:val="22"/>
        </w:rPr>
        <w:t xml:space="preserve">Review and discuss with management significant issues raised by </w:t>
      </w:r>
      <w:r w:rsidR="001458DA" w:rsidRPr="00F31093">
        <w:rPr>
          <w:sz w:val="22"/>
          <w:szCs w:val="22"/>
        </w:rPr>
        <w:t xml:space="preserve">both state and federal </w:t>
      </w:r>
      <w:r w:rsidRPr="00F31093">
        <w:rPr>
          <w:sz w:val="22"/>
          <w:szCs w:val="22"/>
        </w:rPr>
        <w:t xml:space="preserve">regulatory agencies relating to risk management activities for which the Committee has oversight responsibility, and management’s response to issues identified in the </w:t>
      </w:r>
      <w:r w:rsidR="006A07BB" w:rsidRPr="00F31093">
        <w:rPr>
          <w:sz w:val="22"/>
          <w:szCs w:val="22"/>
        </w:rPr>
        <w:t xml:space="preserve">examination and other regulatory </w:t>
      </w:r>
      <w:r w:rsidRPr="00F31093">
        <w:rPr>
          <w:sz w:val="22"/>
          <w:szCs w:val="22"/>
        </w:rPr>
        <w:t>reports</w:t>
      </w:r>
      <w:r w:rsidR="006A07BB" w:rsidRPr="00F31093">
        <w:rPr>
          <w:sz w:val="22"/>
          <w:szCs w:val="22"/>
        </w:rPr>
        <w:t xml:space="preserve"> and findings</w:t>
      </w:r>
      <w:r w:rsidRPr="00F31093">
        <w:rPr>
          <w:sz w:val="22"/>
          <w:szCs w:val="22"/>
        </w:rPr>
        <w:t>.</w:t>
      </w:r>
      <w:r w:rsidR="008D40E1" w:rsidRPr="00F31093">
        <w:rPr>
          <w:sz w:val="22"/>
          <w:szCs w:val="22"/>
        </w:rPr>
        <w:t xml:space="preserve">  </w:t>
      </w:r>
      <w:r w:rsidR="00251D4E" w:rsidRPr="00714D28">
        <w:rPr>
          <w:sz w:val="22"/>
          <w:szCs w:val="22"/>
        </w:rPr>
        <w:t xml:space="preserve">Discuss with the Audit Committee matters reviewed or discussed by the Committee that also bear on the risks within the mandate of </w:t>
      </w:r>
      <w:r w:rsidR="00C307DB" w:rsidRPr="00714D28">
        <w:rPr>
          <w:sz w:val="22"/>
          <w:szCs w:val="22"/>
        </w:rPr>
        <w:t xml:space="preserve">the </w:t>
      </w:r>
      <w:r w:rsidR="00251D4E" w:rsidRPr="00714D28">
        <w:rPr>
          <w:sz w:val="22"/>
          <w:szCs w:val="22"/>
        </w:rPr>
        <w:t>Audit Committee, recognizing that the Audit Committee has primary responsibility for reviewing and discussing matters relating to the financial reporting and legal compliance components of compliance risk.</w:t>
      </w:r>
    </w:p>
    <w:p w14:paraId="37DD234A" w14:textId="77777777" w:rsidR="004D528E" w:rsidRPr="00F31093" w:rsidRDefault="00251D4E" w:rsidP="00256BD3">
      <w:pPr>
        <w:pStyle w:val="BodyTextIndent"/>
        <w:numPr>
          <w:ilvl w:val="0"/>
          <w:numId w:val="1"/>
        </w:numPr>
        <w:spacing w:before="120" w:after="120"/>
        <w:jc w:val="both"/>
        <w:rPr>
          <w:sz w:val="22"/>
          <w:szCs w:val="22"/>
        </w:rPr>
      </w:pPr>
      <w:r w:rsidRPr="00F31093">
        <w:rPr>
          <w:sz w:val="22"/>
          <w:szCs w:val="22"/>
        </w:rPr>
        <w:t>Make regular reports to the Board.</w:t>
      </w:r>
    </w:p>
    <w:p w14:paraId="399FA6F9" w14:textId="77777777" w:rsidR="004D528E" w:rsidRPr="00F31093" w:rsidRDefault="00251D4E" w:rsidP="00256BD3">
      <w:pPr>
        <w:pStyle w:val="BodyTextIndent"/>
        <w:numPr>
          <w:ilvl w:val="0"/>
          <w:numId w:val="1"/>
        </w:numPr>
        <w:spacing w:before="120" w:after="120"/>
        <w:jc w:val="both"/>
        <w:rPr>
          <w:sz w:val="22"/>
          <w:szCs w:val="22"/>
        </w:rPr>
      </w:pPr>
      <w:r w:rsidRPr="00F31093">
        <w:rPr>
          <w:sz w:val="22"/>
          <w:szCs w:val="22"/>
        </w:rPr>
        <w:t>Review and reassess the adequacy of this Committee Charter on an annual basis and submit any recommended changes to the Board for approval.</w:t>
      </w:r>
    </w:p>
    <w:p w14:paraId="3CD5772C" w14:textId="77777777" w:rsidR="00251D4E" w:rsidRPr="00F31093" w:rsidRDefault="00251D4E" w:rsidP="00251D4E">
      <w:pPr>
        <w:pStyle w:val="BodyTextIndent"/>
        <w:ind w:left="0"/>
        <w:rPr>
          <w:sz w:val="22"/>
          <w:szCs w:val="22"/>
        </w:rPr>
      </w:pPr>
    </w:p>
    <w:p w14:paraId="6449AF38" w14:textId="77777777" w:rsidR="00251D4E" w:rsidRPr="00F31093" w:rsidRDefault="00251D4E" w:rsidP="00251D4E">
      <w:pPr>
        <w:pStyle w:val="BodyTextIndent"/>
        <w:rPr>
          <w:sz w:val="22"/>
          <w:szCs w:val="22"/>
        </w:rPr>
      </w:pPr>
    </w:p>
    <w:p w14:paraId="79D3E82F" w14:textId="77777777" w:rsidR="00251D4E" w:rsidRPr="00F31093" w:rsidRDefault="00251D4E" w:rsidP="00251D4E">
      <w:pPr>
        <w:pStyle w:val="BodyTextIndent"/>
        <w:rPr>
          <w:sz w:val="22"/>
          <w:szCs w:val="22"/>
        </w:rPr>
      </w:pPr>
    </w:p>
    <w:p w14:paraId="517F420B" w14:textId="77777777" w:rsidR="00251D4E" w:rsidRPr="00F31093" w:rsidRDefault="00251D4E" w:rsidP="00251D4E">
      <w:pPr>
        <w:pStyle w:val="BodyTextIndent"/>
        <w:rPr>
          <w:sz w:val="22"/>
          <w:szCs w:val="22"/>
        </w:rPr>
      </w:pPr>
    </w:p>
    <w:p w14:paraId="1A157A4A" w14:textId="77777777" w:rsidR="00DF1A13" w:rsidRPr="00F31093" w:rsidRDefault="00DF1A13">
      <w:pPr>
        <w:autoSpaceDE w:val="0"/>
        <w:autoSpaceDN w:val="0"/>
        <w:adjustRightInd w:val="0"/>
        <w:jc w:val="center"/>
        <w:rPr>
          <w:rFonts w:ascii="Tahoma" w:hAnsi="Tahoma" w:cs="Tahoma"/>
          <w:sz w:val="22"/>
          <w:szCs w:val="22"/>
        </w:rPr>
      </w:pPr>
      <w:r w:rsidRPr="00F31093">
        <w:rPr>
          <w:rFonts w:ascii="Tahoma" w:hAnsi="Tahoma" w:cs="Tahoma"/>
          <w:sz w:val="22"/>
          <w:szCs w:val="22"/>
        </w:rPr>
        <w:br w:type="page"/>
      </w:r>
      <w:r w:rsidRPr="00F31093">
        <w:rPr>
          <w:rFonts w:ascii="Tahoma" w:hAnsi="Tahoma" w:cs="Tahoma"/>
          <w:sz w:val="22"/>
          <w:szCs w:val="22"/>
        </w:rPr>
        <w:lastRenderedPageBreak/>
        <w:t>Attachment to the</w:t>
      </w:r>
    </w:p>
    <w:p w14:paraId="450117A3" w14:textId="77777777" w:rsidR="00DF1A13" w:rsidRPr="00F31093" w:rsidRDefault="00DF1A13">
      <w:pPr>
        <w:autoSpaceDE w:val="0"/>
        <w:autoSpaceDN w:val="0"/>
        <w:adjustRightInd w:val="0"/>
        <w:jc w:val="center"/>
        <w:rPr>
          <w:rFonts w:ascii="Tahoma" w:hAnsi="Tahoma" w:cs="Tahoma"/>
          <w:sz w:val="22"/>
          <w:szCs w:val="22"/>
        </w:rPr>
      </w:pPr>
      <w:r w:rsidRPr="00F31093">
        <w:rPr>
          <w:rFonts w:ascii="Tahoma" w:hAnsi="Tahoma" w:cs="Tahoma"/>
          <w:sz w:val="22"/>
          <w:szCs w:val="22"/>
        </w:rPr>
        <w:t>Heritage Financial Corporation</w:t>
      </w:r>
    </w:p>
    <w:p w14:paraId="55F4AF3D" w14:textId="77777777" w:rsidR="00DF1A13" w:rsidRPr="00F31093" w:rsidRDefault="00DF1A13">
      <w:pPr>
        <w:pStyle w:val="NormalWeb"/>
        <w:autoSpaceDE w:val="0"/>
        <w:autoSpaceDN w:val="0"/>
        <w:adjustRightInd w:val="0"/>
        <w:spacing w:before="0" w:beforeAutospacing="0" w:after="0" w:afterAutospacing="0"/>
        <w:jc w:val="center"/>
        <w:rPr>
          <w:rFonts w:ascii="Tahoma" w:eastAsia="Times New Roman" w:hAnsi="Tahoma" w:cs="Tahoma"/>
          <w:sz w:val="22"/>
          <w:szCs w:val="22"/>
        </w:rPr>
      </w:pPr>
      <w:r w:rsidRPr="00F31093">
        <w:rPr>
          <w:rFonts w:ascii="Tahoma" w:eastAsia="Times New Roman" w:hAnsi="Tahoma" w:cs="Tahoma"/>
          <w:sz w:val="22"/>
          <w:szCs w:val="22"/>
        </w:rPr>
        <w:t>Risk Committee Charter</w:t>
      </w:r>
    </w:p>
    <w:p w14:paraId="26F3AE00" w14:textId="77777777" w:rsidR="008A37AF" w:rsidRPr="00F31093" w:rsidRDefault="008A37AF">
      <w:pPr>
        <w:pStyle w:val="NormalWeb"/>
        <w:autoSpaceDE w:val="0"/>
        <w:autoSpaceDN w:val="0"/>
        <w:adjustRightInd w:val="0"/>
        <w:spacing w:before="0" w:beforeAutospacing="0" w:after="0" w:afterAutospacing="0"/>
        <w:jc w:val="center"/>
        <w:rPr>
          <w:rFonts w:ascii="Tahoma" w:eastAsia="Times New Roman" w:hAnsi="Tahoma" w:cs="Tahoma"/>
          <w:sz w:val="22"/>
          <w:szCs w:val="22"/>
        </w:rPr>
      </w:pPr>
    </w:p>
    <w:p w14:paraId="6D66EC9F" w14:textId="77777777" w:rsidR="008A37AF" w:rsidRPr="00F31093" w:rsidRDefault="008A37AF">
      <w:pPr>
        <w:pStyle w:val="NormalWeb"/>
        <w:autoSpaceDE w:val="0"/>
        <w:autoSpaceDN w:val="0"/>
        <w:adjustRightInd w:val="0"/>
        <w:spacing w:before="0" w:beforeAutospacing="0" w:after="0" w:afterAutospacing="0"/>
        <w:jc w:val="center"/>
        <w:rPr>
          <w:rFonts w:ascii="Tahoma" w:eastAsia="Times New Roman" w:hAnsi="Tahoma" w:cs="Tahoma"/>
          <w:sz w:val="22"/>
          <w:szCs w:val="22"/>
        </w:rPr>
      </w:pPr>
      <w:r w:rsidRPr="00F31093">
        <w:rPr>
          <w:rFonts w:ascii="Tahoma" w:eastAsia="Times New Roman" w:hAnsi="Tahoma" w:cs="Tahoma"/>
          <w:b/>
          <w:sz w:val="22"/>
          <w:szCs w:val="22"/>
        </w:rPr>
        <w:t>Risk Categories and Definitions</w:t>
      </w:r>
    </w:p>
    <w:p w14:paraId="20907990" w14:textId="77777777" w:rsidR="00DF1A13" w:rsidRPr="00F31093" w:rsidRDefault="00DF1A13">
      <w:pPr>
        <w:autoSpaceDE w:val="0"/>
        <w:autoSpaceDN w:val="0"/>
        <w:adjustRightInd w:val="0"/>
        <w:rPr>
          <w:rFonts w:ascii="Tahoma" w:hAnsi="Tahoma" w:cs="Tahoma"/>
          <w:sz w:val="22"/>
          <w:szCs w:val="22"/>
        </w:rPr>
      </w:pPr>
    </w:p>
    <w:p w14:paraId="61944F12" w14:textId="77777777" w:rsidR="00DF1A13" w:rsidRPr="00F31093" w:rsidRDefault="00DF1A13">
      <w:pPr>
        <w:pStyle w:val="Heading1"/>
        <w:autoSpaceDE w:val="0"/>
        <w:autoSpaceDN w:val="0"/>
        <w:adjustRightInd w:val="0"/>
        <w:rPr>
          <w:sz w:val="22"/>
          <w:szCs w:val="22"/>
        </w:rPr>
      </w:pPr>
      <w:r w:rsidRPr="00F31093">
        <w:rPr>
          <w:sz w:val="22"/>
          <w:szCs w:val="22"/>
        </w:rPr>
        <w:t xml:space="preserve">Risks </w:t>
      </w:r>
      <w:r w:rsidRPr="00F31093">
        <w:rPr>
          <w:sz w:val="22"/>
          <w:szCs w:val="22"/>
        </w:rPr>
        <w:tab/>
      </w:r>
      <w:r w:rsidRPr="00F31093">
        <w:rPr>
          <w:sz w:val="22"/>
          <w:szCs w:val="22"/>
        </w:rPr>
        <w:tab/>
      </w:r>
      <w:r w:rsidRPr="00F31093">
        <w:rPr>
          <w:sz w:val="22"/>
          <w:szCs w:val="22"/>
        </w:rPr>
        <w:tab/>
        <w:t>Definitions</w:t>
      </w:r>
    </w:p>
    <w:p w14:paraId="11AA4381" w14:textId="77777777" w:rsidR="00DF1A13" w:rsidRDefault="00DF1A13">
      <w:pPr>
        <w:autoSpaceDE w:val="0"/>
        <w:autoSpaceDN w:val="0"/>
        <w:adjustRightInd w:val="0"/>
        <w:rPr>
          <w:rFonts w:ascii="Tahoma" w:hAnsi="Tahoma" w:cs="Tahoma"/>
          <w:b/>
          <w:bCs/>
          <w:sz w:val="22"/>
          <w:szCs w:val="22"/>
        </w:rPr>
      </w:pPr>
    </w:p>
    <w:p w14:paraId="4BEC56CC" w14:textId="77777777" w:rsidR="003918C5" w:rsidRPr="003918C5" w:rsidRDefault="003918C5" w:rsidP="003918C5">
      <w:pPr>
        <w:autoSpaceDE w:val="0"/>
        <w:autoSpaceDN w:val="0"/>
        <w:adjustRightInd w:val="0"/>
        <w:ind w:left="2160" w:hanging="2160"/>
        <w:rPr>
          <w:rFonts w:ascii="Tahoma" w:hAnsi="Tahoma" w:cs="Tahoma"/>
          <w:sz w:val="22"/>
          <w:szCs w:val="22"/>
        </w:rPr>
      </w:pPr>
      <w:r w:rsidRPr="00F31093">
        <w:rPr>
          <w:rFonts w:ascii="Tahoma" w:hAnsi="Tahoma" w:cs="Tahoma"/>
          <w:b/>
          <w:bCs/>
          <w:sz w:val="22"/>
          <w:szCs w:val="22"/>
        </w:rPr>
        <w:t>Strategic</w:t>
      </w:r>
      <w:r>
        <w:rPr>
          <w:rFonts w:ascii="Tahoma" w:hAnsi="Tahoma" w:cs="Tahoma"/>
          <w:b/>
          <w:bCs/>
          <w:sz w:val="22"/>
          <w:szCs w:val="22"/>
        </w:rPr>
        <w:tab/>
      </w:r>
      <w:r w:rsidRPr="003918C5">
        <w:rPr>
          <w:rFonts w:ascii="Tahoma" w:hAnsi="Tahoma" w:cs="Tahoma"/>
          <w:sz w:val="22"/>
          <w:szCs w:val="22"/>
        </w:rPr>
        <w:t>The risk to current or projected financial condition, reputation, or resilience arising from adverse business decisions, improper implementation of decisions, inadequate risk management infrastructure, or ineffective responsiveness to emerging industry changes or unforeseen events.</w:t>
      </w:r>
    </w:p>
    <w:p w14:paraId="44CAAD05" w14:textId="77777777" w:rsidR="003918C5" w:rsidRDefault="003918C5">
      <w:pPr>
        <w:autoSpaceDE w:val="0"/>
        <w:autoSpaceDN w:val="0"/>
        <w:adjustRightInd w:val="0"/>
        <w:ind w:left="2160" w:hanging="2160"/>
        <w:rPr>
          <w:rFonts w:ascii="Tahoma" w:hAnsi="Tahoma" w:cs="Tahoma"/>
          <w:b/>
          <w:bCs/>
          <w:sz w:val="22"/>
          <w:szCs w:val="22"/>
        </w:rPr>
      </w:pPr>
    </w:p>
    <w:p w14:paraId="2E5C7BA6" w14:textId="77777777" w:rsidR="003918C5" w:rsidRPr="003918C5" w:rsidRDefault="003918C5">
      <w:pPr>
        <w:autoSpaceDE w:val="0"/>
        <w:autoSpaceDN w:val="0"/>
        <w:adjustRightInd w:val="0"/>
        <w:ind w:left="2160" w:hanging="2160"/>
        <w:rPr>
          <w:rFonts w:ascii="Tahoma" w:hAnsi="Tahoma" w:cs="Tahoma"/>
          <w:bCs/>
          <w:sz w:val="22"/>
          <w:szCs w:val="22"/>
        </w:rPr>
      </w:pPr>
      <w:r w:rsidRPr="00F31093">
        <w:rPr>
          <w:rFonts w:ascii="Tahoma" w:hAnsi="Tahoma" w:cs="Tahoma"/>
          <w:b/>
          <w:bCs/>
          <w:sz w:val="22"/>
          <w:szCs w:val="22"/>
        </w:rPr>
        <w:t>Credit</w:t>
      </w:r>
      <w:r>
        <w:rPr>
          <w:rFonts w:ascii="Tahoma" w:hAnsi="Tahoma" w:cs="Tahoma"/>
          <w:b/>
          <w:bCs/>
          <w:sz w:val="22"/>
          <w:szCs w:val="22"/>
        </w:rPr>
        <w:tab/>
      </w:r>
      <w:r w:rsidRPr="003918C5">
        <w:rPr>
          <w:rFonts w:ascii="Tahoma" w:hAnsi="Tahoma" w:cs="Tahoma"/>
          <w:bCs/>
          <w:sz w:val="22"/>
          <w:szCs w:val="22"/>
        </w:rPr>
        <w:t xml:space="preserve">The risk to current or projected financial condition, reputation or resilience arising from a borrower, </w:t>
      </w:r>
      <w:proofErr w:type="gramStart"/>
      <w:r w:rsidRPr="003918C5">
        <w:rPr>
          <w:rFonts w:ascii="Tahoma" w:hAnsi="Tahoma" w:cs="Tahoma"/>
          <w:bCs/>
          <w:sz w:val="22"/>
          <w:szCs w:val="22"/>
        </w:rPr>
        <w:t>counter-party</w:t>
      </w:r>
      <w:proofErr w:type="gramEnd"/>
      <w:r w:rsidRPr="003918C5">
        <w:rPr>
          <w:rFonts w:ascii="Tahoma" w:hAnsi="Tahoma" w:cs="Tahoma"/>
          <w:bCs/>
          <w:sz w:val="22"/>
          <w:szCs w:val="22"/>
        </w:rPr>
        <w:t>, issuer, or other obligor’s failure to repay a loan or otherwise meet a contractual obligation.</w:t>
      </w:r>
    </w:p>
    <w:p w14:paraId="2D00592F" w14:textId="77777777" w:rsidR="003918C5" w:rsidRDefault="003918C5">
      <w:pPr>
        <w:autoSpaceDE w:val="0"/>
        <w:autoSpaceDN w:val="0"/>
        <w:adjustRightInd w:val="0"/>
        <w:ind w:left="2160" w:hanging="2160"/>
        <w:rPr>
          <w:rFonts w:ascii="Tahoma" w:hAnsi="Tahoma" w:cs="Tahoma"/>
          <w:b/>
          <w:bCs/>
          <w:sz w:val="22"/>
          <w:szCs w:val="22"/>
        </w:rPr>
      </w:pPr>
    </w:p>
    <w:p w14:paraId="016A3DAA" w14:textId="77777777" w:rsidR="003918C5" w:rsidRPr="003918C5" w:rsidRDefault="003918C5">
      <w:pPr>
        <w:autoSpaceDE w:val="0"/>
        <w:autoSpaceDN w:val="0"/>
        <w:adjustRightInd w:val="0"/>
        <w:ind w:left="2160" w:hanging="2160"/>
        <w:rPr>
          <w:rFonts w:ascii="Tahoma" w:hAnsi="Tahoma" w:cs="Tahoma"/>
          <w:bCs/>
          <w:sz w:val="22"/>
          <w:szCs w:val="22"/>
        </w:rPr>
      </w:pPr>
      <w:r>
        <w:rPr>
          <w:rFonts w:ascii="Tahoma" w:hAnsi="Tahoma" w:cs="Tahoma"/>
          <w:b/>
          <w:bCs/>
          <w:sz w:val="22"/>
          <w:szCs w:val="22"/>
        </w:rPr>
        <w:t>Compliance</w:t>
      </w:r>
      <w:r>
        <w:rPr>
          <w:rFonts w:ascii="Tahoma" w:hAnsi="Tahoma" w:cs="Tahoma"/>
          <w:b/>
          <w:bCs/>
          <w:sz w:val="22"/>
          <w:szCs w:val="22"/>
        </w:rPr>
        <w:tab/>
      </w:r>
      <w:r w:rsidRPr="003918C5">
        <w:rPr>
          <w:rFonts w:ascii="Tahoma" w:hAnsi="Tahoma" w:cs="Tahoma"/>
          <w:bCs/>
          <w:sz w:val="22"/>
          <w:szCs w:val="22"/>
        </w:rPr>
        <w:t>The risk to current or projected financial condition, reputation or resilience arising from violations of or non-conformance with laws rules, and regulations.</w:t>
      </w:r>
    </w:p>
    <w:p w14:paraId="63CC5136" w14:textId="77777777" w:rsidR="003918C5" w:rsidRDefault="003918C5">
      <w:pPr>
        <w:autoSpaceDE w:val="0"/>
        <w:autoSpaceDN w:val="0"/>
        <w:adjustRightInd w:val="0"/>
        <w:ind w:left="2160" w:hanging="2160"/>
        <w:rPr>
          <w:rFonts w:ascii="Tahoma" w:hAnsi="Tahoma" w:cs="Tahoma"/>
          <w:b/>
          <w:bCs/>
          <w:sz w:val="22"/>
          <w:szCs w:val="22"/>
        </w:rPr>
      </w:pPr>
    </w:p>
    <w:p w14:paraId="30547623" w14:textId="77777777" w:rsidR="00386AE6" w:rsidRDefault="003918C5">
      <w:pPr>
        <w:autoSpaceDE w:val="0"/>
        <w:autoSpaceDN w:val="0"/>
        <w:adjustRightInd w:val="0"/>
        <w:ind w:left="2160" w:hanging="2160"/>
        <w:rPr>
          <w:rFonts w:ascii="Tahoma" w:hAnsi="Tahoma" w:cs="Tahoma"/>
          <w:b/>
          <w:bCs/>
          <w:sz w:val="22"/>
          <w:szCs w:val="22"/>
        </w:rPr>
      </w:pPr>
      <w:r>
        <w:rPr>
          <w:rFonts w:ascii="Tahoma" w:hAnsi="Tahoma" w:cs="Tahoma"/>
          <w:b/>
          <w:bCs/>
          <w:sz w:val="22"/>
          <w:szCs w:val="22"/>
        </w:rPr>
        <w:t>BSA/AML/OFAC</w:t>
      </w:r>
      <w:r w:rsidR="00386AE6">
        <w:rPr>
          <w:rFonts w:ascii="Tahoma" w:hAnsi="Tahoma" w:cs="Tahoma"/>
          <w:b/>
          <w:bCs/>
          <w:sz w:val="22"/>
          <w:szCs w:val="22"/>
        </w:rPr>
        <w:tab/>
      </w:r>
      <w:r w:rsidR="00386AE6" w:rsidRPr="00386AE6">
        <w:rPr>
          <w:rFonts w:ascii="Tahoma" w:hAnsi="Tahoma" w:cs="Tahoma"/>
          <w:bCs/>
          <w:sz w:val="22"/>
          <w:szCs w:val="22"/>
        </w:rPr>
        <w:t>The risk to current or projected financial condition, reputation or resilience arising from violations of or non-conformance with the Bank Secrecy Act, and its implementing regulations, Anti-Money Laundering regulations, and Office of Foreign Assets Control (OFAC) laws and regulations.</w:t>
      </w:r>
    </w:p>
    <w:p w14:paraId="3344E2C6" w14:textId="77777777" w:rsidR="003918C5" w:rsidRDefault="003918C5">
      <w:pPr>
        <w:autoSpaceDE w:val="0"/>
        <w:autoSpaceDN w:val="0"/>
        <w:adjustRightInd w:val="0"/>
        <w:ind w:left="2160" w:hanging="2160"/>
        <w:rPr>
          <w:rFonts w:ascii="Tahoma" w:hAnsi="Tahoma" w:cs="Tahoma"/>
          <w:b/>
          <w:bCs/>
          <w:sz w:val="22"/>
          <w:szCs w:val="22"/>
        </w:rPr>
      </w:pPr>
    </w:p>
    <w:p w14:paraId="74BC9966" w14:textId="0096DAB6" w:rsidR="00386AE6" w:rsidRDefault="00386AE6">
      <w:pPr>
        <w:autoSpaceDE w:val="0"/>
        <w:autoSpaceDN w:val="0"/>
        <w:adjustRightInd w:val="0"/>
        <w:ind w:left="2160" w:hanging="2160"/>
        <w:rPr>
          <w:rFonts w:ascii="Tahoma" w:hAnsi="Tahoma" w:cs="Tahoma"/>
          <w:bCs/>
          <w:sz w:val="22"/>
          <w:szCs w:val="22"/>
        </w:rPr>
      </w:pPr>
      <w:r>
        <w:rPr>
          <w:rFonts w:ascii="Tahoma" w:hAnsi="Tahoma" w:cs="Tahoma"/>
          <w:b/>
          <w:bCs/>
          <w:sz w:val="22"/>
          <w:szCs w:val="22"/>
        </w:rPr>
        <w:t>Operational</w:t>
      </w:r>
      <w:r>
        <w:rPr>
          <w:rFonts w:ascii="Tahoma" w:hAnsi="Tahoma" w:cs="Tahoma"/>
          <w:b/>
          <w:bCs/>
          <w:sz w:val="22"/>
          <w:szCs w:val="22"/>
        </w:rPr>
        <w:tab/>
      </w:r>
      <w:r w:rsidRPr="00386AE6">
        <w:rPr>
          <w:rFonts w:ascii="Tahoma" w:hAnsi="Tahoma" w:cs="Tahoma"/>
          <w:bCs/>
          <w:sz w:val="22"/>
          <w:szCs w:val="22"/>
        </w:rPr>
        <w:t>The risk to current or projected financial condition, reputation or resilience arising from missing, inadequate or failed internal processes, and people. Also included are adverse events, such as business disruptions and fraud.</w:t>
      </w:r>
    </w:p>
    <w:p w14:paraId="610CE9D1" w14:textId="4772E06D" w:rsidR="00C96FE0" w:rsidRDefault="00C96FE0">
      <w:pPr>
        <w:autoSpaceDE w:val="0"/>
        <w:autoSpaceDN w:val="0"/>
        <w:adjustRightInd w:val="0"/>
        <w:ind w:left="2160" w:hanging="2160"/>
        <w:rPr>
          <w:rFonts w:ascii="Tahoma" w:hAnsi="Tahoma" w:cs="Tahoma"/>
          <w:b/>
          <w:bCs/>
          <w:sz w:val="22"/>
          <w:szCs w:val="22"/>
        </w:rPr>
      </w:pPr>
    </w:p>
    <w:p w14:paraId="15145C65" w14:textId="77777777" w:rsidR="003E2324" w:rsidRDefault="00C96FE0" w:rsidP="00962C50">
      <w:pPr>
        <w:autoSpaceDE w:val="0"/>
        <w:autoSpaceDN w:val="0"/>
        <w:adjustRightInd w:val="0"/>
        <w:ind w:left="2160" w:hanging="2160"/>
        <w:rPr>
          <w:rFonts w:ascii="Tahoma" w:hAnsi="Tahoma" w:cs="Tahoma"/>
        </w:rPr>
      </w:pPr>
      <w:r>
        <w:rPr>
          <w:rFonts w:ascii="Tahoma" w:hAnsi="Tahoma" w:cs="Tahoma"/>
          <w:b/>
          <w:bCs/>
          <w:sz w:val="22"/>
          <w:szCs w:val="22"/>
        </w:rPr>
        <w:t xml:space="preserve">Information </w:t>
      </w:r>
      <w:r>
        <w:rPr>
          <w:rFonts w:ascii="Tahoma" w:hAnsi="Tahoma" w:cs="Tahoma"/>
          <w:b/>
          <w:bCs/>
          <w:sz w:val="22"/>
          <w:szCs w:val="22"/>
        </w:rPr>
        <w:tab/>
      </w:r>
      <w:bookmarkStart w:id="0" w:name="_Hlk140063780"/>
      <w:r w:rsidR="003E2324" w:rsidRPr="00E210EF">
        <w:rPr>
          <w:rFonts w:ascii="Tahoma" w:hAnsi="Tahoma" w:cs="Tahoma"/>
        </w:rPr>
        <w:t>The risk to current or projected financial condition,</w:t>
      </w:r>
    </w:p>
    <w:p w14:paraId="79586FC3" w14:textId="77777777" w:rsidR="003E2324" w:rsidRDefault="003E2324" w:rsidP="00962C50">
      <w:pPr>
        <w:autoSpaceDE w:val="0"/>
        <w:autoSpaceDN w:val="0"/>
        <w:adjustRightInd w:val="0"/>
        <w:ind w:left="2160" w:hanging="2160"/>
        <w:rPr>
          <w:rFonts w:ascii="Tahoma" w:hAnsi="Tahoma" w:cs="Tahoma"/>
        </w:rPr>
      </w:pPr>
      <w:r>
        <w:rPr>
          <w:rFonts w:ascii="Tahoma" w:hAnsi="Tahoma" w:cs="Tahoma"/>
          <w:b/>
          <w:bCs/>
          <w:sz w:val="22"/>
          <w:szCs w:val="22"/>
        </w:rPr>
        <w:t>Technology and</w:t>
      </w:r>
      <w:r w:rsidRPr="00E210EF">
        <w:rPr>
          <w:rFonts w:ascii="Tahoma" w:hAnsi="Tahoma" w:cs="Tahoma"/>
        </w:rPr>
        <w:t xml:space="preserve"> </w:t>
      </w:r>
      <w:r>
        <w:rPr>
          <w:rFonts w:ascii="Tahoma" w:hAnsi="Tahoma" w:cs="Tahoma"/>
        </w:rPr>
        <w:tab/>
      </w:r>
      <w:r w:rsidRPr="00E210EF">
        <w:rPr>
          <w:rFonts w:ascii="Tahoma" w:hAnsi="Tahoma" w:cs="Tahoma"/>
        </w:rPr>
        <w:t>reputation or resilience arising from missing, inadequate or</w:t>
      </w:r>
    </w:p>
    <w:p w14:paraId="18ABC9E8" w14:textId="0523B915" w:rsidR="00C96FE0" w:rsidRDefault="003E2324" w:rsidP="00962C50">
      <w:pPr>
        <w:autoSpaceDE w:val="0"/>
        <w:autoSpaceDN w:val="0"/>
        <w:adjustRightInd w:val="0"/>
        <w:ind w:left="2160" w:hanging="2160"/>
        <w:rPr>
          <w:rFonts w:ascii="Tahoma" w:hAnsi="Tahoma" w:cs="Tahoma"/>
          <w:bCs/>
          <w:sz w:val="22"/>
          <w:szCs w:val="22"/>
        </w:rPr>
      </w:pPr>
      <w:r>
        <w:rPr>
          <w:rFonts w:ascii="Tahoma" w:hAnsi="Tahoma" w:cs="Tahoma"/>
          <w:b/>
          <w:bCs/>
          <w:sz w:val="22"/>
          <w:szCs w:val="22"/>
        </w:rPr>
        <w:t>Security</w:t>
      </w:r>
      <w:r w:rsidRPr="00E210EF">
        <w:rPr>
          <w:rFonts w:ascii="Tahoma" w:hAnsi="Tahoma" w:cs="Tahoma"/>
        </w:rPr>
        <w:t xml:space="preserve"> </w:t>
      </w:r>
      <w:r>
        <w:rPr>
          <w:rFonts w:ascii="Tahoma" w:hAnsi="Tahoma" w:cs="Tahoma"/>
        </w:rPr>
        <w:tab/>
      </w:r>
      <w:r w:rsidRPr="00E210EF">
        <w:rPr>
          <w:rFonts w:ascii="Tahoma" w:hAnsi="Tahoma" w:cs="Tahoma"/>
        </w:rPr>
        <w:t>failed technology</w:t>
      </w:r>
      <w:r>
        <w:rPr>
          <w:rFonts w:ascii="Tahoma" w:hAnsi="Tahoma" w:cs="Tahoma"/>
        </w:rPr>
        <w:t xml:space="preserve">. Information technology and data are owned across the organization. The use of information technology and data contributes to the success and efficiency of all Bank operational and risk management processes. Any failure to efficiently and effectively, deliver, utilize, and manage or control needed technology can increase cost and risk across the </w:t>
      </w:r>
      <w:r w:rsidRPr="00D80A89">
        <w:rPr>
          <w:rFonts w:ascii="Tahoma" w:hAnsi="Tahoma" w:cs="Tahoma"/>
        </w:rPr>
        <w:t>organization</w:t>
      </w:r>
      <w:r w:rsidRPr="0085275D">
        <w:rPr>
          <w:rFonts w:ascii="Tahoma" w:hAnsi="Tahoma" w:cs="Tahoma"/>
        </w:rPr>
        <w:t>. The primary elements are</w:t>
      </w:r>
      <w:bookmarkEnd w:id="0"/>
      <w:r w:rsidRPr="0085275D">
        <w:rPr>
          <w:rFonts w:ascii="Tahoma" w:hAnsi="Tahoma" w:cs="Tahoma"/>
        </w:rPr>
        <w:t>:</w:t>
      </w:r>
      <w:r w:rsidR="00962C50" w:rsidRPr="00C439FD">
        <w:rPr>
          <w:rFonts w:ascii="Tahoma" w:hAnsi="Tahoma" w:cs="Tahoma"/>
          <w:bCs/>
          <w:sz w:val="22"/>
          <w:szCs w:val="22"/>
        </w:rPr>
        <w:t xml:space="preserve"> </w:t>
      </w:r>
    </w:p>
    <w:p w14:paraId="4A9A2D8D" w14:textId="44F73238" w:rsidR="00B76C29" w:rsidRPr="0085275D" w:rsidRDefault="00B76C29" w:rsidP="004A2952">
      <w:pPr>
        <w:pStyle w:val="ListParagraph"/>
        <w:numPr>
          <w:ilvl w:val="0"/>
          <w:numId w:val="8"/>
        </w:numPr>
        <w:autoSpaceDE w:val="0"/>
        <w:autoSpaceDN w:val="0"/>
        <w:adjustRightInd w:val="0"/>
        <w:spacing w:before="60" w:after="60"/>
        <w:ind w:left="2520"/>
        <w:contextualSpacing w:val="0"/>
        <w:jc w:val="both"/>
        <w:rPr>
          <w:rFonts w:ascii="Tahoma" w:hAnsi="Tahoma" w:cs="Tahoma"/>
        </w:rPr>
      </w:pPr>
      <w:r w:rsidRPr="0085275D">
        <w:rPr>
          <w:rFonts w:ascii="Tahoma" w:hAnsi="Tahoma" w:cs="Tahoma"/>
        </w:rPr>
        <w:t>Failure to eff</w:t>
      </w:r>
      <w:r>
        <w:rPr>
          <w:rFonts w:ascii="Tahoma" w:hAnsi="Tahoma" w:cs="Tahoma"/>
        </w:rPr>
        <w:t>ectively</w:t>
      </w:r>
      <w:r w:rsidRPr="0085275D">
        <w:rPr>
          <w:rFonts w:ascii="Tahoma" w:hAnsi="Tahoma" w:cs="Tahoma"/>
        </w:rPr>
        <w:t xml:space="preserve"> manage technology</w:t>
      </w:r>
    </w:p>
    <w:p w14:paraId="17D25B42" w14:textId="77777777" w:rsidR="00B76C29" w:rsidRPr="0085275D" w:rsidRDefault="00B76C29" w:rsidP="004A2952">
      <w:pPr>
        <w:pStyle w:val="ListParagraph"/>
        <w:numPr>
          <w:ilvl w:val="0"/>
          <w:numId w:val="8"/>
        </w:numPr>
        <w:autoSpaceDE w:val="0"/>
        <w:autoSpaceDN w:val="0"/>
        <w:adjustRightInd w:val="0"/>
        <w:spacing w:before="60" w:after="60"/>
        <w:ind w:left="2520"/>
        <w:contextualSpacing w:val="0"/>
        <w:jc w:val="both"/>
        <w:rPr>
          <w:rFonts w:ascii="Tahoma" w:hAnsi="Tahoma" w:cs="Tahoma"/>
        </w:rPr>
      </w:pPr>
      <w:r w:rsidRPr="0085275D">
        <w:rPr>
          <w:rFonts w:ascii="Tahoma" w:hAnsi="Tahoma" w:cs="Tahoma"/>
        </w:rPr>
        <w:t>Failure to maintain the integrity of data</w:t>
      </w:r>
    </w:p>
    <w:p w14:paraId="776D3518" w14:textId="77777777" w:rsidR="00B76C29" w:rsidRPr="00B76C29" w:rsidRDefault="00B76C29" w:rsidP="004A2952">
      <w:pPr>
        <w:pStyle w:val="ListParagraph"/>
        <w:numPr>
          <w:ilvl w:val="0"/>
          <w:numId w:val="8"/>
        </w:numPr>
        <w:autoSpaceDE w:val="0"/>
        <w:autoSpaceDN w:val="0"/>
        <w:adjustRightInd w:val="0"/>
        <w:spacing w:before="60" w:after="60"/>
        <w:ind w:left="2520"/>
        <w:contextualSpacing w:val="0"/>
        <w:jc w:val="both"/>
        <w:rPr>
          <w:rFonts w:ascii="Tahoma" w:hAnsi="Tahoma" w:cs="Tahoma"/>
        </w:rPr>
      </w:pPr>
      <w:r w:rsidRPr="00B76C29">
        <w:rPr>
          <w:rFonts w:ascii="Tahoma" w:hAnsi="Tahoma" w:cs="Tahoma"/>
        </w:rPr>
        <w:lastRenderedPageBreak/>
        <w:t>Failure to maintain the confidentiality of Bank and customer information</w:t>
      </w:r>
    </w:p>
    <w:p w14:paraId="5792609C" w14:textId="1B589BD3" w:rsidR="000E60CF" w:rsidRPr="000E60CF" w:rsidRDefault="00B76C29" w:rsidP="008406B8">
      <w:pPr>
        <w:pStyle w:val="ListParagraph"/>
        <w:numPr>
          <w:ilvl w:val="3"/>
          <w:numId w:val="8"/>
        </w:numPr>
        <w:autoSpaceDE w:val="0"/>
        <w:autoSpaceDN w:val="0"/>
        <w:adjustRightInd w:val="0"/>
        <w:spacing w:before="60" w:after="60"/>
        <w:ind w:left="2520"/>
        <w:contextualSpacing w:val="0"/>
        <w:jc w:val="both"/>
        <w:rPr>
          <w:rFonts w:ascii="Tahoma" w:hAnsi="Tahoma" w:cs="Tahoma"/>
          <w:b/>
          <w:bCs/>
        </w:rPr>
      </w:pPr>
      <w:r w:rsidRPr="000E60CF">
        <w:rPr>
          <w:rFonts w:ascii="Tahoma" w:hAnsi="Tahoma" w:cs="Tahoma"/>
        </w:rPr>
        <w:t>Failure to maintain the availability of information</w:t>
      </w:r>
      <w:r w:rsidR="0023173C">
        <w:rPr>
          <w:rFonts w:ascii="Tahoma" w:hAnsi="Tahoma" w:cs="Tahoma"/>
        </w:rPr>
        <w:t xml:space="preserve">, including timely and accurate technology and data disaster recovery practices. </w:t>
      </w:r>
    </w:p>
    <w:p w14:paraId="65E1F615" w14:textId="64899A76" w:rsidR="00C96FE0" w:rsidRPr="000E60CF" w:rsidRDefault="00C96FE0" w:rsidP="000E60CF">
      <w:pPr>
        <w:pStyle w:val="ListParagraph"/>
        <w:autoSpaceDE w:val="0"/>
        <w:autoSpaceDN w:val="0"/>
        <w:adjustRightInd w:val="0"/>
        <w:spacing w:before="60" w:after="60"/>
        <w:ind w:left="2160"/>
        <w:contextualSpacing w:val="0"/>
        <w:jc w:val="both"/>
        <w:rPr>
          <w:rFonts w:ascii="Tahoma" w:hAnsi="Tahoma" w:cs="Tahoma"/>
          <w:b/>
          <w:bCs/>
        </w:rPr>
      </w:pPr>
    </w:p>
    <w:p w14:paraId="2F7C46EB" w14:textId="21235719" w:rsidR="00386AE6" w:rsidRPr="00386AE6" w:rsidRDefault="00386AE6">
      <w:pPr>
        <w:autoSpaceDE w:val="0"/>
        <w:autoSpaceDN w:val="0"/>
        <w:adjustRightInd w:val="0"/>
        <w:ind w:left="2160" w:hanging="2160"/>
        <w:rPr>
          <w:rFonts w:ascii="Tahoma" w:hAnsi="Tahoma" w:cs="Tahoma"/>
          <w:bCs/>
          <w:sz w:val="22"/>
          <w:szCs w:val="22"/>
        </w:rPr>
      </w:pPr>
      <w:r>
        <w:rPr>
          <w:rFonts w:ascii="Tahoma" w:hAnsi="Tahoma" w:cs="Tahoma"/>
          <w:b/>
          <w:bCs/>
          <w:sz w:val="22"/>
          <w:szCs w:val="22"/>
        </w:rPr>
        <w:t>Reputation</w:t>
      </w:r>
      <w:r>
        <w:rPr>
          <w:rFonts w:ascii="Tahoma" w:hAnsi="Tahoma" w:cs="Tahoma"/>
          <w:b/>
          <w:bCs/>
          <w:sz w:val="22"/>
          <w:szCs w:val="22"/>
        </w:rPr>
        <w:tab/>
      </w:r>
      <w:r w:rsidRPr="00386AE6">
        <w:rPr>
          <w:rFonts w:ascii="Tahoma" w:hAnsi="Tahoma" w:cs="Tahoma"/>
          <w:bCs/>
          <w:sz w:val="22"/>
          <w:szCs w:val="22"/>
        </w:rPr>
        <w:t>The risk to current or projected financial condition, reputation or resilience arising from negative public opinion. Stakeholders include primarily customers, counterparties, correspondents, investors, regulators, employees, and the community.</w:t>
      </w:r>
    </w:p>
    <w:p w14:paraId="4DB98116" w14:textId="77777777" w:rsidR="003918C5" w:rsidRDefault="003918C5">
      <w:pPr>
        <w:autoSpaceDE w:val="0"/>
        <w:autoSpaceDN w:val="0"/>
        <w:adjustRightInd w:val="0"/>
        <w:ind w:left="2160" w:hanging="2160"/>
        <w:rPr>
          <w:rFonts w:ascii="Tahoma" w:hAnsi="Tahoma" w:cs="Tahoma"/>
          <w:b/>
          <w:bCs/>
          <w:sz w:val="22"/>
          <w:szCs w:val="22"/>
        </w:rPr>
      </w:pPr>
    </w:p>
    <w:p w14:paraId="609A000F" w14:textId="77777777" w:rsidR="00386AE6" w:rsidRPr="00386AE6" w:rsidRDefault="00386AE6">
      <w:pPr>
        <w:autoSpaceDE w:val="0"/>
        <w:autoSpaceDN w:val="0"/>
        <w:adjustRightInd w:val="0"/>
        <w:ind w:left="2160" w:hanging="2160"/>
        <w:rPr>
          <w:rFonts w:ascii="Tahoma" w:hAnsi="Tahoma" w:cs="Tahoma"/>
          <w:bCs/>
          <w:sz w:val="22"/>
          <w:szCs w:val="22"/>
        </w:rPr>
      </w:pPr>
      <w:r>
        <w:rPr>
          <w:rFonts w:ascii="Tahoma" w:hAnsi="Tahoma" w:cs="Tahoma"/>
          <w:b/>
          <w:bCs/>
          <w:sz w:val="22"/>
          <w:szCs w:val="22"/>
        </w:rPr>
        <w:t>Interest Rate</w:t>
      </w:r>
      <w:r>
        <w:rPr>
          <w:rFonts w:ascii="Tahoma" w:hAnsi="Tahoma" w:cs="Tahoma"/>
          <w:b/>
          <w:bCs/>
          <w:sz w:val="22"/>
          <w:szCs w:val="22"/>
        </w:rPr>
        <w:tab/>
      </w:r>
      <w:r w:rsidRPr="00386AE6">
        <w:rPr>
          <w:rFonts w:ascii="Tahoma" w:hAnsi="Tahoma" w:cs="Tahoma"/>
          <w:bCs/>
          <w:sz w:val="22"/>
          <w:szCs w:val="22"/>
        </w:rPr>
        <w:t>The risk to current or projected financial condition, reputation or resilience arising from adverse movements in interest rates.</w:t>
      </w:r>
    </w:p>
    <w:p w14:paraId="0F011BD7" w14:textId="77777777" w:rsidR="00386AE6" w:rsidRDefault="00386AE6">
      <w:pPr>
        <w:autoSpaceDE w:val="0"/>
        <w:autoSpaceDN w:val="0"/>
        <w:adjustRightInd w:val="0"/>
        <w:ind w:left="2160" w:hanging="2160"/>
        <w:rPr>
          <w:rFonts w:ascii="Tahoma" w:hAnsi="Tahoma" w:cs="Tahoma"/>
          <w:b/>
          <w:bCs/>
          <w:sz w:val="22"/>
          <w:szCs w:val="22"/>
        </w:rPr>
      </w:pPr>
    </w:p>
    <w:p w14:paraId="3895B929" w14:textId="63D12801" w:rsidR="00386AE6" w:rsidRDefault="00386AE6" w:rsidP="00386AE6">
      <w:pPr>
        <w:autoSpaceDE w:val="0"/>
        <w:autoSpaceDN w:val="0"/>
        <w:adjustRightInd w:val="0"/>
        <w:ind w:left="2160" w:hanging="2160"/>
        <w:rPr>
          <w:rFonts w:ascii="Tahoma" w:hAnsi="Tahoma" w:cs="Tahoma"/>
          <w:bCs/>
          <w:sz w:val="22"/>
          <w:szCs w:val="22"/>
        </w:rPr>
      </w:pPr>
      <w:r>
        <w:rPr>
          <w:rFonts w:ascii="Tahoma" w:hAnsi="Tahoma" w:cs="Tahoma"/>
          <w:b/>
          <w:bCs/>
          <w:sz w:val="22"/>
          <w:szCs w:val="22"/>
        </w:rPr>
        <w:t>Liquidity</w:t>
      </w:r>
      <w:r>
        <w:rPr>
          <w:rFonts w:ascii="Tahoma" w:hAnsi="Tahoma" w:cs="Tahoma"/>
          <w:b/>
          <w:bCs/>
          <w:sz w:val="22"/>
          <w:szCs w:val="22"/>
        </w:rPr>
        <w:tab/>
      </w:r>
      <w:r w:rsidRPr="00386AE6">
        <w:rPr>
          <w:rFonts w:ascii="Tahoma" w:hAnsi="Tahoma" w:cs="Tahoma"/>
          <w:bCs/>
          <w:sz w:val="22"/>
          <w:szCs w:val="22"/>
        </w:rPr>
        <w:t>The risk to current or projected financial condition, reputation or resilience arising from an inability to meet obligations when they come due, including the potential loss of liquidity attributed to declining credit qual</w:t>
      </w:r>
      <w:r>
        <w:rPr>
          <w:rFonts w:ascii="Tahoma" w:hAnsi="Tahoma" w:cs="Tahoma"/>
          <w:bCs/>
          <w:sz w:val="22"/>
          <w:szCs w:val="22"/>
        </w:rPr>
        <w:t>ity in the investment portfolio.</w:t>
      </w:r>
    </w:p>
    <w:p w14:paraId="69F8AAF7" w14:textId="03C3C88F" w:rsidR="00962C50" w:rsidRDefault="00962C50" w:rsidP="00386AE6">
      <w:pPr>
        <w:autoSpaceDE w:val="0"/>
        <w:autoSpaceDN w:val="0"/>
        <w:adjustRightInd w:val="0"/>
        <w:ind w:left="2160" w:hanging="2160"/>
        <w:rPr>
          <w:rFonts w:ascii="Tahoma" w:hAnsi="Tahoma" w:cs="Tahoma"/>
          <w:sz w:val="22"/>
          <w:szCs w:val="22"/>
        </w:rPr>
      </w:pPr>
    </w:p>
    <w:p w14:paraId="3A9786F6" w14:textId="77777777" w:rsidR="00962C50" w:rsidRDefault="00962C50" w:rsidP="00386AE6">
      <w:pPr>
        <w:autoSpaceDE w:val="0"/>
        <w:autoSpaceDN w:val="0"/>
        <w:adjustRightInd w:val="0"/>
        <w:ind w:left="2160" w:hanging="2160"/>
        <w:rPr>
          <w:rFonts w:ascii="Tahoma" w:hAnsi="Tahoma" w:cs="Tahoma"/>
          <w:bCs/>
          <w:sz w:val="22"/>
          <w:szCs w:val="22"/>
        </w:rPr>
      </w:pPr>
      <w:r>
        <w:rPr>
          <w:rFonts w:ascii="Tahoma" w:hAnsi="Tahoma" w:cs="Tahoma"/>
          <w:b/>
          <w:sz w:val="22"/>
          <w:szCs w:val="22"/>
        </w:rPr>
        <w:t>Environmental,</w:t>
      </w:r>
      <w:r>
        <w:rPr>
          <w:rFonts w:ascii="Tahoma" w:hAnsi="Tahoma" w:cs="Tahoma"/>
          <w:b/>
          <w:sz w:val="22"/>
          <w:szCs w:val="22"/>
        </w:rPr>
        <w:tab/>
      </w:r>
      <w:proofErr w:type="gramStart"/>
      <w:r w:rsidRPr="00A2400C">
        <w:rPr>
          <w:rFonts w:ascii="Tahoma" w:hAnsi="Tahoma" w:cs="Tahoma"/>
          <w:bCs/>
          <w:sz w:val="22"/>
          <w:szCs w:val="22"/>
        </w:rPr>
        <w:t>The</w:t>
      </w:r>
      <w:proofErr w:type="gramEnd"/>
      <w:r w:rsidRPr="00A2400C">
        <w:rPr>
          <w:rFonts w:ascii="Tahoma" w:hAnsi="Tahoma" w:cs="Tahoma"/>
          <w:bCs/>
          <w:sz w:val="22"/>
          <w:szCs w:val="22"/>
        </w:rPr>
        <w:t xml:space="preserve"> risk to current or projected financial condition, reputation or</w:t>
      </w:r>
    </w:p>
    <w:p w14:paraId="4BDCF059" w14:textId="77777777" w:rsidR="00962C50" w:rsidRDefault="00962C50" w:rsidP="00386AE6">
      <w:pPr>
        <w:autoSpaceDE w:val="0"/>
        <w:autoSpaceDN w:val="0"/>
        <w:adjustRightInd w:val="0"/>
        <w:ind w:left="2160" w:hanging="2160"/>
        <w:rPr>
          <w:rFonts w:ascii="Tahoma" w:hAnsi="Tahoma" w:cs="Tahoma"/>
          <w:bCs/>
          <w:sz w:val="22"/>
          <w:szCs w:val="22"/>
        </w:rPr>
      </w:pPr>
      <w:r w:rsidRPr="00A2400C">
        <w:rPr>
          <w:rFonts w:ascii="Tahoma" w:hAnsi="Tahoma" w:cs="Tahoma"/>
          <w:b/>
          <w:sz w:val="22"/>
          <w:szCs w:val="22"/>
        </w:rPr>
        <w:t xml:space="preserve">Social, </w:t>
      </w:r>
      <w:proofErr w:type="gramStart"/>
      <w:r w:rsidRPr="00A2400C">
        <w:rPr>
          <w:rFonts w:ascii="Tahoma" w:hAnsi="Tahoma" w:cs="Tahoma"/>
          <w:b/>
          <w:sz w:val="22"/>
          <w:szCs w:val="22"/>
        </w:rPr>
        <w:t xml:space="preserve">and </w:t>
      </w:r>
      <w:r w:rsidRPr="00A2400C">
        <w:rPr>
          <w:rFonts w:ascii="Tahoma" w:hAnsi="Tahoma" w:cs="Tahoma"/>
          <w:bCs/>
          <w:sz w:val="22"/>
          <w:szCs w:val="22"/>
        </w:rPr>
        <w:t xml:space="preserve"> </w:t>
      </w:r>
      <w:r>
        <w:rPr>
          <w:rFonts w:ascii="Tahoma" w:hAnsi="Tahoma" w:cs="Tahoma"/>
          <w:bCs/>
          <w:sz w:val="22"/>
          <w:szCs w:val="22"/>
        </w:rPr>
        <w:tab/>
      </w:r>
      <w:proofErr w:type="gramEnd"/>
      <w:r w:rsidRPr="00A2400C">
        <w:rPr>
          <w:rFonts w:ascii="Tahoma" w:hAnsi="Tahoma" w:cs="Tahoma"/>
          <w:bCs/>
          <w:sz w:val="22"/>
          <w:szCs w:val="22"/>
        </w:rPr>
        <w:t>resilience arising from environmental or social factors and failure</w:t>
      </w:r>
    </w:p>
    <w:p w14:paraId="08F1CEF9" w14:textId="74ED72D8" w:rsidR="00962C50" w:rsidRDefault="00962C50" w:rsidP="00386AE6">
      <w:pPr>
        <w:autoSpaceDE w:val="0"/>
        <w:autoSpaceDN w:val="0"/>
        <w:adjustRightInd w:val="0"/>
        <w:ind w:left="2160" w:hanging="2160"/>
        <w:rPr>
          <w:rFonts w:ascii="Tahoma" w:hAnsi="Tahoma" w:cs="Tahoma"/>
          <w:bCs/>
          <w:sz w:val="22"/>
          <w:szCs w:val="22"/>
        </w:rPr>
      </w:pPr>
      <w:r>
        <w:rPr>
          <w:rFonts w:ascii="Tahoma" w:hAnsi="Tahoma" w:cs="Tahoma"/>
          <w:b/>
          <w:sz w:val="22"/>
          <w:szCs w:val="22"/>
        </w:rPr>
        <w:t>Governance (ESG)</w:t>
      </w:r>
      <w:r w:rsidRPr="00A2400C">
        <w:rPr>
          <w:rFonts w:ascii="Tahoma" w:hAnsi="Tahoma" w:cs="Tahoma"/>
          <w:bCs/>
          <w:sz w:val="22"/>
          <w:szCs w:val="22"/>
        </w:rPr>
        <w:t xml:space="preserve"> </w:t>
      </w:r>
      <w:r>
        <w:rPr>
          <w:rFonts w:ascii="Tahoma" w:hAnsi="Tahoma" w:cs="Tahoma"/>
          <w:bCs/>
          <w:sz w:val="22"/>
          <w:szCs w:val="22"/>
        </w:rPr>
        <w:tab/>
      </w:r>
      <w:r w:rsidRPr="00A2400C">
        <w:rPr>
          <w:rFonts w:ascii="Tahoma" w:hAnsi="Tahoma" w:cs="Tahoma"/>
          <w:bCs/>
          <w:sz w:val="22"/>
          <w:szCs w:val="22"/>
        </w:rPr>
        <w:t xml:space="preserve">to govern the Company accordingly.  </w:t>
      </w:r>
    </w:p>
    <w:p w14:paraId="545BC440" w14:textId="7F25B05E" w:rsidR="00A2400C" w:rsidRPr="00A2400C" w:rsidRDefault="00A2400C" w:rsidP="00386AE6">
      <w:pPr>
        <w:autoSpaceDE w:val="0"/>
        <w:autoSpaceDN w:val="0"/>
        <w:adjustRightInd w:val="0"/>
        <w:ind w:left="2160" w:hanging="2160"/>
        <w:rPr>
          <w:rFonts w:ascii="Tahoma" w:hAnsi="Tahoma" w:cs="Tahoma"/>
          <w:bCs/>
          <w:sz w:val="22"/>
          <w:szCs w:val="22"/>
        </w:rPr>
      </w:pPr>
    </w:p>
    <w:sectPr w:rsidR="00A2400C" w:rsidRPr="00A2400C" w:rsidSect="002B3BC2">
      <w:headerReference w:type="default"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1A46" w14:textId="77777777" w:rsidR="00DE1C9F" w:rsidRDefault="00DE1C9F">
      <w:r>
        <w:separator/>
      </w:r>
    </w:p>
  </w:endnote>
  <w:endnote w:type="continuationSeparator" w:id="0">
    <w:p w14:paraId="6D392DEC" w14:textId="77777777" w:rsidR="00DE1C9F" w:rsidRDefault="00DE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736083"/>
      <w:docPartObj>
        <w:docPartGallery w:val="Page Numbers (Bottom of Page)"/>
        <w:docPartUnique/>
      </w:docPartObj>
    </w:sdtPr>
    <w:sdtEndPr>
      <w:rPr>
        <w:noProof/>
      </w:rPr>
    </w:sdtEndPr>
    <w:sdtContent>
      <w:p w14:paraId="02DD83D5" w14:textId="77777777" w:rsidR="00386AE6" w:rsidRDefault="00386AE6">
        <w:pPr>
          <w:pStyle w:val="Footer"/>
          <w:jc w:val="right"/>
        </w:pPr>
        <w:r>
          <w:fldChar w:fldCharType="begin"/>
        </w:r>
        <w:r>
          <w:instrText xml:space="preserve"> PAGE   \* MERGEFORMAT </w:instrText>
        </w:r>
        <w:r>
          <w:fldChar w:fldCharType="separate"/>
        </w:r>
        <w:r w:rsidR="002E641D">
          <w:rPr>
            <w:noProof/>
          </w:rPr>
          <w:t>4</w:t>
        </w:r>
        <w:r>
          <w:rPr>
            <w:noProof/>
          </w:rPr>
          <w:fldChar w:fldCharType="end"/>
        </w:r>
      </w:p>
    </w:sdtContent>
  </w:sdt>
  <w:p w14:paraId="071738B5" w14:textId="77777777" w:rsidR="00386AE6" w:rsidRDefault="00386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604F" w14:textId="77777777" w:rsidR="00DE1C9F" w:rsidRDefault="00DE1C9F">
      <w:r>
        <w:separator/>
      </w:r>
    </w:p>
  </w:footnote>
  <w:footnote w:type="continuationSeparator" w:id="0">
    <w:p w14:paraId="5BA87DF5" w14:textId="77777777" w:rsidR="00DE1C9F" w:rsidRDefault="00DE1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4F78" w14:textId="77777777" w:rsidR="00331333" w:rsidRDefault="00331333">
    <w:pPr>
      <w:pStyle w:val="Header"/>
      <w:rPr>
        <w:rFonts w:ascii="Tahoma" w:hAnsi="Tahoma" w:cs="Tahoma"/>
        <w:i/>
        <w:iCs/>
        <w:sz w:val="16"/>
      </w:rPr>
    </w:pPr>
    <w:r>
      <w:rPr>
        <w:rFonts w:ascii="Tahoma" w:hAnsi="Tahoma" w:cs="Tahoma"/>
        <w:i/>
        <w:i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7C98"/>
    <w:multiLevelType w:val="hybridMultilevel"/>
    <w:tmpl w:val="18E8EDB0"/>
    <w:lvl w:ilvl="0" w:tplc="B142D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382429"/>
    <w:multiLevelType w:val="hybridMultilevel"/>
    <w:tmpl w:val="12AEFE74"/>
    <w:lvl w:ilvl="0" w:tplc="B142D9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16D4D72"/>
    <w:multiLevelType w:val="hybridMultilevel"/>
    <w:tmpl w:val="B2227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50822"/>
    <w:multiLevelType w:val="hybridMultilevel"/>
    <w:tmpl w:val="AFC49F72"/>
    <w:lvl w:ilvl="0" w:tplc="2D1E1D5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4A4192"/>
    <w:multiLevelType w:val="hybridMultilevel"/>
    <w:tmpl w:val="8536DDDC"/>
    <w:lvl w:ilvl="0" w:tplc="EBF4700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B3696C"/>
    <w:multiLevelType w:val="hybridMultilevel"/>
    <w:tmpl w:val="12AEFE74"/>
    <w:lvl w:ilvl="0" w:tplc="B142D9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80A73CB"/>
    <w:multiLevelType w:val="hybridMultilevel"/>
    <w:tmpl w:val="1572FE50"/>
    <w:lvl w:ilvl="0" w:tplc="F4F6182E">
      <w:start w:val="1"/>
      <w:numFmt w:val="bullet"/>
      <w:lvlText w:val="•"/>
      <w:lvlJc w:val="left"/>
      <w:pPr>
        <w:tabs>
          <w:tab w:val="num" w:pos="720"/>
        </w:tabs>
        <w:ind w:left="720" w:hanging="360"/>
      </w:pPr>
      <w:rPr>
        <w:rFonts w:ascii="Arial" w:hAnsi="Arial" w:hint="default"/>
      </w:rPr>
    </w:lvl>
    <w:lvl w:ilvl="1" w:tplc="E16C7D80" w:tentative="1">
      <w:start w:val="1"/>
      <w:numFmt w:val="bullet"/>
      <w:lvlText w:val="•"/>
      <w:lvlJc w:val="left"/>
      <w:pPr>
        <w:tabs>
          <w:tab w:val="num" w:pos="1440"/>
        </w:tabs>
        <w:ind w:left="1440" w:hanging="360"/>
      </w:pPr>
      <w:rPr>
        <w:rFonts w:ascii="Arial" w:hAnsi="Arial" w:hint="default"/>
      </w:rPr>
    </w:lvl>
    <w:lvl w:ilvl="2" w:tplc="3CE6A754" w:tentative="1">
      <w:start w:val="1"/>
      <w:numFmt w:val="bullet"/>
      <w:lvlText w:val="•"/>
      <w:lvlJc w:val="left"/>
      <w:pPr>
        <w:tabs>
          <w:tab w:val="num" w:pos="2160"/>
        </w:tabs>
        <w:ind w:left="2160" w:hanging="360"/>
      </w:pPr>
      <w:rPr>
        <w:rFonts w:ascii="Arial" w:hAnsi="Arial" w:hint="default"/>
      </w:rPr>
    </w:lvl>
    <w:lvl w:ilvl="3" w:tplc="C8A28498" w:tentative="1">
      <w:start w:val="1"/>
      <w:numFmt w:val="bullet"/>
      <w:lvlText w:val="•"/>
      <w:lvlJc w:val="left"/>
      <w:pPr>
        <w:tabs>
          <w:tab w:val="num" w:pos="2880"/>
        </w:tabs>
        <w:ind w:left="2880" w:hanging="360"/>
      </w:pPr>
      <w:rPr>
        <w:rFonts w:ascii="Arial" w:hAnsi="Arial" w:hint="default"/>
      </w:rPr>
    </w:lvl>
    <w:lvl w:ilvl="4" w:tplc="226A85B2" w:tentative="1">
      <w:start w:val="1"/>
      <w:numFmt w:val="bullet"/>
      <w:lvlText w:val="•"/>
      <w:lvlJc w:val="left"/>
      <w:pPr>
        <w:tabs>
          <w:tab w:val="num" w:pos="3600"/>
        </w:tabs>
        <w:ind w:left="3600" w:hanging="360"/>
      </w:pPr>
      <w:rPr>
        <w:rFonts w:ascii="Arial" w:hAnsi="Arial" w:hint="default"/>
      </w:rPr>
    </w:lvl>
    <w:lvl w:ilvl="5" w:tplc="5C56E2D2" w:tentative="1">
      <w:start w:val="1"/>
      <w:numFmt w:val="bullet"/>
      <w:lvlText w:val="•"/>
      <w:lvlJc w:val="left"/>
      <w:pPr>
        <w:tabs>
          <w:tab w:val="num" w:pos="4320"/>
        </w:tabs>
        <w:ind w:left="4320" w:hanging="360"/>
      </w:pPr>
      <w:rPr>
        <w:rFonts w:ascii="Arial" w:hAnsi="Arial" w:hint="default"/>
      </w:rPr>
    </w:lvl>
    <w:lvl w:ilvl="6" w:tplc="4838152A" w:tentative="1">
      <w:start w:val="1"/>
      <w:numFmt w:val="bullet"/>
      <w:lvlText w:val="•"/>
      <w:lvlJc w:val="left"/>
      <w:pPr>
        <w:tabs>
          <w:tab w:val="num" w:pos="5040"/>
        </w:tabs>
        <w:ind w:left="5040" w:hanging="360"/>
      </w:pPr>
      <w:rPr>
        <w:rFonts w:ascii="Arial" w:hAnsi="Arial" w:hint="default"/>
      </w:rPr>
    </w:lvl>
    <w:lvl w:ilvl="7" w:tplc="706070D2" w:tentative="1">
      <w:start w:val="1"/>
      <w:numFmt w:val="bullet"/>
      <w:lvlText w:val="•"/>
      <w:lvlJc w:val="left"/>
      <w:pPr>
        <w:tabs>
          <w:tab w:val="num" w:pos="5760"/>
        </w:tabs>
        <w:ind w:left="5760" w:hanging="360"/>
      </w:pPr>
      <w:rPr>
        <w:rFonts w:ascii="Arial" w:hAnsi="Arial" w:hint="default"/>
      </w:rPr>
    </w:lvl>
    <w:lvl w:ilvl="8" w:tplc="AF1C6C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B000E6B"/>
    <w:multiLevelType w:val="hybridMultilevel"/>
    <w:tmpl w:val="9E22F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700049">
    <w:abstractNumId w:val="1"/>
  </w:num>
  <w:num w:numId="2" w16cid:durableId="146435328">
    <w:abstractNumId w:val="4"/>
  </w:num>
  <w:num w:numId="3" w16cid:durableId="32461032">
    <w:abstractNumId w:val="2"/>
  </w:num>
  <w:num w:numId="4" w16cid:durableId="1178735745">
    <w:abstractNumId w:val="5"/>
  </w:num>
  <w:num w:numId="5" w16cid:durableId="1717003561">
    <w:abstractNumId w:val="0"/>
  </w:num>
  <w:num w:numId="6" w16cid:durableId="760955485">
    <w:abstractNumId w:val="3"/>
  </w:num>
  <w:num w:numId="7" w16cid:durableId="2117553140">
    <w:abstractNumId w:val="6"/>
  </w:num>
  <w:num w:numId="8" w16cid:durableId="296498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13"/>
    <w:rsid w:val="00001FB9"/>
    <w:rsid w:val="00014AA3"/>
    <w:rsid w:val="00036314"/>
    <w:rsid w:val="00081218"/>
    <w:rsid w:val="00095689"/>
    <w:rsid w:val="000E60CF"/>
    <w:rsid w:val="000F644C"/>
    <w:rsid w:val="00117307"/>
    <w:rsid w:val="0013287E"/>
    <w:rsid w:val="001410EF"/>
    <w:rsid w:val="001458DA"/>
    <w:rsid w:val="00151A21"/>
    <w:rsid w:val="00151A60"/>
    <w:rsid w:val="0015505E"/>
    <w:rsid w:val="0016118C"/>
    <w:rsid w:val="001A4986"/>
    <w:rsid w:val="001B4503"/>
    <w:rsid w:val="001C072E"/>
    <w:rsid w:val="001C0767"/>
    <w:rsid w:val="001C153C"/>
    <w:rsid w:val="0021035C"/>
    <w:rsid w:val="00220EBD"/>
    <w:rsid w:val="00227137"/>
    <w:rsid w:val="0023173C"/>
    <w:rsid w:val="00244462"/>
    <w:rsid w:val="00251D4E"/>
    <w:rsid w:val="00256BD3"/>
    <w:rsid w:val="00295281"/>
    <w:rsid w:val="002B3BC2"/>
    <w:rsid w:val="002D0E57"/>
    <w:rsid w:val="002D3653"/>
    <w:rsid w:val="002D637A"/>
    <w:rsid w:val="002E641D"/>
    <w:rsid w:val="002F091B"/>
    <w:rsid w:val="002F67FD"/>
    <w:rsid w:val="00314268"/>
    <w:rsid w:val="00315AC4"/>
    <w:rsid w:val="00321371"/>
    <w:rsid w:val="00326E59"/>
    <w:rsid w:val="00331272"/>
    <w:rsid w:val="00331333"/>
    <w:rsid w:val="0035096B"/>
    <w:rsid w:val="00362222"/>
    <w:rsid w:val="00366513"/>
    <w:rsid w:val="00367F7F"/>
    <w:rsid w:val="00382864"/>
    <w:rsid w:val="00386AE6"/>
    <w:rsid w:val="003918C5"/>
    <w:rsid w:val="0039433B"/>
    <w:rsid w:val="003E0C5D"/>
    <w:rsid w:val="003E2324"/>
    <w:rsid w:val="003E4839"/>
    <w:rsid w:val="003E55BD"/>
    <w:rsid w:val="004023CF"/>
    <w:rsid w:val="00403329"/>
    <w:rsid w:val="00410299"/>
    <w:rsid w:val="00431ADE"/>
    <w:rsid w:val="004666A9"/>
    <w:rsid w:val="00473D50"/>
    <w:rsid w:val="004756FF"/>
    <w:rsid w:val="00494490"/>
    <w:rsid w:val="004A2952"/>
    <w:rsid w:val="004D528E"/>
    <w:rsid w:val="004D7531"/>
    <w:rsid w:val="004E7C2D"/>
    <w:rsid w:val="005077AB"/>
    <w:rsid w:val="005256AA"/>
    <w:rsid w:val="005259A2"/>
    <w:rsid w:val="00536846"/>
    <w:rsid w:val="00585A24"/>
    <w:rsid w:val="005A2582"/>
    <w:rsid w:val="005A5661"/>
    <w:rsid w:val="005B41D7"/>
    <w:rsid w:val="005C0BB9"/>
    <w:rsid w:val="005D08EF"/>
    <w:rsid w:val="00600E7C"/>
    <w:rsid w:val="006277FF"/>
    <w:rsid w:val="006579C9"/>
    <w:rsid w:val="00674004"/>
    <w:rsid w:val="0068269B"/>
    <w:rsid w:val="006A07BB"/>
    <w:rsid w:val="006C5381"/>
    <w:rsid w:val="006E2E66"/>
    <w:rsid w:val="006F32DF"/>
    <w:rsid w:val="006F3BD5"/>
    <w:rsid w:val="00714D28"/>
    <w:rsid w:val="00720487"/>
    <w:rsid w:val="007633F3"/>
    <w:rsid w:val="00775906"/>
    <w:rsid w:val="007863FC"/>
    <w:rsid w:val="007E42BF"/>
    <w:rsid w:val="007E52D9"/>
    <w:rsid w:val="0083107D"/>
    <w:rsid w:val="008406B8"/>
    <w:rsid w:val="00864B7E"/>
    <w:rsid w:val="00891F9B"/>
    <w:rsid w:val="008A37AF"/>
    <w:rsid w:val="008A7591"/>
    <w:rsid w:val="008D40E1"/>
    <w:rsid w:val="00902E7E"/>
    <w:rsid w:val="0092265F"/>
    <w:rsid w:val="00962C50"/>
    <w:rsid w:val="00972553"/>
    <w:rsid w:val="009A516D"/>
    <w:rsid w:val="009D655E"/>
    <w:rsid w:val="009F7849"/>
    <w:rsid w:val="00A07135"/>
    <w:rsid w:val="00A07A13"/>
    <w:rsid w:val="00A2400C"/>
    <w:rsid w:val="00A35604"/>
    <w:rsid w:val="00A43E99"/>
    <w:rsid w:val="00A55503"/>
    <w:rsid w:val="00A73F6B"/>
    <w:rsid w:val="00A75BFA"/>
    <w:rsid w:val="00AB4C73"/>
    <w:rsid w:val="00AC488A"/>
    <w:rsid w:val="00AC68DC"/>
    <w:rsid w:val="00B12D47"/>
    <w:rsid w:val="00B21EE7"/>
    <w:rsid w:val="00B511A8"/>
    <w:rsid w:val="00B60931"/>
    <w:rsid w:val="00B76C29"/>
    <w:rsid w:val="00B940EE"/>
    <w:rsid w:val="00BB5436"/>
    <w:rsid w:val="00BE0880"/>
    <w:rsid w:val="00BF2D00"/>
    <w:rsid w:val="00C04664"/>
    <w:rsid w:val="00C307DB"/>
    <w:rsid w:val="00C41457"/>
    <w:rsid w:val="00C73B2F"/>
    <w:rsid w:val="00C8586F"/>
    <w:rsid w:val="00C96FE0"/>
    <w:rsid w:val="00CA0220"/>
    <w:rsid w:val="00CB7108"/>
    <w:rsid w:val="00CF0DD7"/>
    <w:rsid w:val="00CF4A01"/>
    <w:rsid w:val="00D07E8F"/>
    <w:rsid w:val="00D211F1"/>
    <w:rsid w:val="00D33A7D"/>
    <w:rsid w:val="00D3603D"/>
    <w:rsid w:val="00D6342B"/>
    <w:rsid w:val="00D84F8E"/>
    <w:rsid w:val="00D91BF9"/>
    <w:rsid w:val="00D94715"/>
    <w:rsid w:val="00DD14BC"/>
    <w:rsid w:val="00DE09CD"/>
    <w:rsid w:val="00DE1C9F"/>
    <w:rsid w:val="00DF1A13"/>
    <w:rsid w:val="00DF397A"/>
    <w:rsid w:val="00DF7163"/>
    <w:rsid w:val="00E3413C"/>
    <w:rsid w:val="00E45371"/>
    <w:rsid w:val="00E61451"/>
    <w:rsid w:val="00E747C2"/>
    <w:rsid w:val="00E85EED"/>
    <w:rsid w:val="00E95BD0"/>
    <w:rsid w:val="00EA71CA"/>
    <w:rsid w:val="00EB6370"/>
    <w:rsid w:val="00ED0BE6"/>
    <w:rsid w:val="00F133FF"/>
    <w:rsid w:val="00F217A1"/>
    <w:rsid w:val="00F26916"/>
    <w:rsid w:val="00F31093"/>
    <w:rsid w:val="00F40498"/>
    <w:rsid w:val="00F64FDE"/>
    <w:rsid w:val="00FC58BB"/>
    <w:rsid w:val="00FD2ECF"/>
    <w:rsid w:val="00FE7524"/>
    <w:rsid w:val="00FF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205A3"/>
  <w15:docId w15:val="{EF6E13CA-27D5-4D1C-A898-459E6161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BC2"/>
    <w:rPr>
      <w:sz w:val="24"/>
      <w:szCs w:val="24"/>
    </w:rPr>
  </w:style>
  <w:style w:type="paragraph" w:styleId="Heading1">
    <w:name w:val="heading 1"/>
    <w:basedOn w:val="Normal"/>
    <w:next w:val="Normal"/>
    <w:qFormat/>
    <w:rsid w:val="002B3BC2"/>
    <w:pPr>
      <w:keepNext/>
      <w:outlineLvl w:val="0"/>
    </w:pPr>
    <w:rPr>
      <w:rFonts w:ascii="Tahoma" w:hAnsi="Tahoma" w:cs="Tahoma"/>
      <w:b/>
      <w:bCs/>
    </w:rPr>
  </w:style>
  <w:style w:type="paragraph" w:styleId="Heading2">
    <w:name w:val="heading 2"/>
    <w:basedOn w:val="Normal"/>
    <w:next w:val="Normal"/>
    <w:qFormat/>
    <w:rsid w:val="002B3BC2"/>
    <w:pPr>
      <w:keepNext/>
      <w:autoSpaceDE w:val="0"/>
      <w:autoSpaceDN w:val="0"/>
      <w:adjustRightInd w:val="0"/>
      <w:jc w:val="center"/>
      <w:outlineLvl w:val="1"/>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B3BC2"/>
    <w:pPr>
      <w:jc w:val="center"/>
    </w:pPr>
    <w:rPr>
      <w:b/>
      <w:szCs w:val="20"/>
    </w:rPr>
  </w:style>
  <w:style w:type="paragraph" w:styleId="Subtitle">
    <w:name w:val="Subtitle"/>
    <w:basedOn w:val="Normal"/>
    <w:qFormat/>
    <w:rsid w:val="002B3BC2"/>
    <w:pPr>
      <w:jc w:val="center"/>
    </w:pPr>
    <w:rPr>
      <w:rFonts w:ascii="Arial" w:hAnsi="Arial" w:cs="Arial"/>
      <w:b/>
      <w:szCs w:val="20"/>
    </w:rPr>
  </w:style>
  <w:style w:type="paragraph" w:styleId="BodyTextIndent">
    <w:name w:val="Body Text Indent"/>
    <w:basedOn w:val="Normal"/>
    <w:semiHidden/>
    <w:rsid w:val="002B3BC2"/>
    <w:pPr>
      <w:autoSpaceDE w:val="0"/>
      <w:autoSpaceDN w:val="0"/>
      <w:adjustRightInd w:val="0"/>
      <w:ind w:left="720"/>
    </w:pPr>
    <w:rPr>
      <w:rFonts w:ascii="Tahoma" w:hAnsi="Tahoma" w:cs="Tahoma"/>
    </w:rPr>
  </w:style>
  <w:style w:type="paragraph" w:styleId="NormalWeb">
    <w:name w:val="Normal (Web)"/>
    <w:basedOn w:val="Normal"/>
    <w:semiHidden/>
    <w:rsid w:val="002B3BC2"/>
    <w:pPr>
      <w:spacing w:before="100" w:beforeAutospacing="1" w:after="100" w:afterAutospacing="1"/>
    </w:pPr>
    <w:rPr>
      <w:rFonts w:ascii="Arial Unicode MS" w:eastAsia="Arial Unicode MS" w:hAnsi="Arial Unicode MS" w:cs="Arial Unicode MS"/>
    </w:rPr>
  </w:style>
  <w:style w:type="paragraph" w:styleId="Header">
    <w:name w:val="header"/>
    <w:basedOn w:val="Normal"/>
    <w:semiHidden/>
    <w:rsid w:val="002B3BC2"/>
    <w:pPr>
      <w:tabs>
        <w:tab w:val="center" w:pos="4320"/>
        <w:tab w:val="right" w:pos="8640"/>
      </w:tabs>
    </w:pPr>
  </w:style>
  <w:style w:type="paragraph" w:styleId="Footer">
    <w:name w:val="footer"/>
    <w:basedOn w:val="Normal"/>
    <w:link w:val="FooterChar"/>
    <w:uiPriority w:val="99"/>
    <w:rsid w:val="002B3BC2"/>
    <w:pPr>
      <w:tabs>
        <w:tab w:val="center" w:pos="4320"/>
        <w:tab w:val="right" w:pos="8640"/>
      </w:tabs>
    </w:pPr>
  </w:style>
  <w:style w:type="paragraph" w:styleId="BalloonText">
    <w:name w:val="Balloon Text"/>
    <w:basedOn w:val="Normal"/>
    <w:link w:val="BalloonTextChar"/>
    <w:uiPriority w:val="99"/>
    <w:semiHidden/>
    <w:unhideWhenUsed/>
    <w:rsid w:val="00CB7108"/>
    <w:rPr>
      <w:rFonts w:ascii="Tahoma" w:hAnsi="Tahoma" w:cs="Tahoma"/>
      <w:sz w:val="16"/>
      <w:szCs w:val="16"/>
    </w:rPr>
  </w:style>
  <w:style w:type="character" w:customStyle="1" w:styleId="BalloonTextChar">
    <w:name w:val="Balloon Text Char"/>
    <w:basedOn w:val="DefaultParagraphFont"/>
    <w:link w:val="BalloonText"/>
    <w:uiPriority w:val="99"/>
    <w:semiHidden/>
    <w:rsid w:val="00CB7108"/>
    <w:rPr>
      <w:rFonts w:ascii="Tahoma" w:hAnsi="Tahoma" w:cs="Tahoma"/>
      <w:sz w:val="16"/>
      <w:szCs w:val="16"/>
    </w:rPr>
  </w:style>
  <w:style w:type="character" w:customStyle="1" w:styleId="FooterChar">
    <w:name w:val="Footer Char"/>
    <w:basedOn w:val="DefaultParagraphFont"/>
    <w:link w:val="Footer"/>
    <w:uiPriority w:val="99"/>
    <w:rsid w:val="00386AE6"/>
    <w:rPr>
      <w:sz w:val="24"/>
      <w:szCs w:val="24"/>
    </w:rPr>
  </w:style>
  <w:style w:type="character" w:styleId="CommentReference">
    <w:name w:val="annotation reference"/>
    <w:basedOn w:val="DefaultParagraphFont"/>
    <w:uiPriority w:val="99"/>
    <w:semiHidden/>
    <w:unhideWhenUsed/>
    <w:rsid w:val="00D6342B"/>
    <w:rPr>
      <w:sz w:val="16"/>
      <w:szCs w:val="16"/>
    </w:rPr>
  </w:style>
  <w:style w:type="paragraph" w:styleId="CommentText">
    <w:name w:val="annotation text"/>
    <w:basedOn w:val="Normal"/>
    <w:link w:val="CommentTextChar"/>
    <w:uiPriority w:val="99"/>
    <w:unhideWhenUsed/>
    <w:rsid w:val="00D6342B"/>
    <w:rPr>
      <w:sz w:val="20"/>
      <w:szCs w:val="20"/>
    </w:rPr>
  </w:style>
  <w:style w:type="character" w:customStyle="1" w:styleId="CommentTextChar">
    <w:name w:val="Comment Text Char"/>
    <w:basedOn w:val="DefaultParagraphFont"/>
    <w:link w:val="CommentText"/>
    <w:uiPriority w:val="99"/>
    <w:rsid w:val="00D6342B"/>
  </w:style>
  <w:style w:type="paragraph" w:styleId="CommentSubject">
    <w:name w:val="annotation subject"/>
    <w:basedOn w:val="CommentText"/>
    <w:next w:val="CommentText"/>
    <w:link w:val="CommentSubjectChar"/>
    <w:uiPriority w:val="99"/>
    <w:semiHidden/>
    <w:unhideWhenUsed/>
    <w:rsid w:val="00D6342B"/>
    <w:rPr>
      <w:b/>
      <w:bCs/>
    </w:rPr>
  </w:style>
  <w:style w:type="character" w:customStyle="1" w:styleId="CommentSubjectChar">
    <w:name w:val="Comment Subject Char"/>
    <w:basedOn w:val="CommentTextChar"/>
    <w:link w:val="CommentSubject"/>
    <w:uiPriority w:val="99"/>
    <w:semiHidden/>
    <w:rsid w:val="00D6342B"/>
    <w:rPr>
      <w:b/>
      <w:bCs/>
    </w:rPr>
  </w:style>
  <w:style w:type="paragraph" w:styleId="Revision">
    <w:name w:val="Revision"/>
    <w:hidden/>
    <w:uiPriority w:val="99"/>
    <w:semiHidden/>
    <w:rsid w:val="00D33A7D"/>
    <w:rPr>
      <w:sz w:val="24"/>
      <w:szCs w:val="24"/>
    </w:rPr>
  </w:style>
  <w:style w:type="paragraph" w:styleId="ListParagraph">
    <w:name w:val="List Paragraph"/>
    <w:basedOn w:val="Normal"/>
    <w:uiPriority w:val="34"/>
    <w:qFormat/>
    <w:rsid w:val="00B76C29"/>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F122-5318-4E89-87C3-CC653E88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1351</Words>
  <Characters>8019</Characters>
  <Application>Microsoft Office Word</Application>
  <DocSecurity>0</DocSecurity>
  <Lines>182</Lines>
  <Paragraphs>47</Paragraphs>
  <ScaleCrop>false</ScaleCrop>
  <HeadingPairs>
    <vt:vector size="2" baseType="variant">
      <vt:variant>
        <vt:lpstr>Title</vt:lpstr>
      </vt:variant>
      <vt:variant>
        <vt:i4>1</vt:i4>
      </vt:variant>
    </vt:vector>
  </HeadingPairs>
  <TitlesOfParts>
    <vt:vector size="1" baseType="lpstr">
      <vt:lpstr>HERITAGE FINANCIAL CORPORATION</vt:lpstr>
    </vt:vector>
  </TitlesOfParts>
  <Company>Home</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HERITAGE FINANCIAL CORPORATION</dc:title>
  <dc:creator>Ed Cameron</dc:creator>
  <cp:lastModifiedBy>Kaylene Lahn</cp:lastModifiedBy>
  <cp:revision>3</cp:revision>
  <cp:lastPrinted>2016-05-17T18:00:00Z</cp:lastPrinted>
  <dcterms:created xsi:type="dcterms:W3CDTF">2026-02-06T19:56:00Z</dcterms:created>
  <dcterms:modified xsi:type="dcterms:W3CDTF">2026-02-06T19:58:00Z</dcterms:modified>
</cp:coreProperties>
</file>